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35E" w:rsidRPr="00E93012" w:rsidRDefault="00B7235E" w:rsidP="00B7235E">
      <w:pPr>
        <w:outlineLvl w:val="0"/>
        <w:rPr>
          <w:b/>
          <w:lang w:val="en-GB"/>
        </w:rPr>
      </w:pPr>
      <w:r w:rsidRPr="00E93012">
        <w:rPr>
          <w:b/>
          <w:lang w:val="en-GB"/>
        </w:rPr>
        <w:t>Annex</w:t>
      </w:r>
      <w:r w:rsidRPr="00E93012">
        <w:rPr>
          <w:rStyle w:val="Odwoanieprzypisudolnego"/>
          <w:b/>
          <w:lang w:val="en-GB"/>
        </w:rPr>
        <w:footnoteReference w:id="1"/>
      </w:r>
      <w:r w:rsidRPr="00E93012">
        <w:rPr>
          <w:b/>
          <w:lang w:val="en-GB"/>
        </w:rPr>
        <w:t>:</w:t>
      </w:r>
    </w:p>
    <w:p w:rsidR="00B7235E" w:rsidRPr="00E93012" w:rsidRDefault="00B7235E" w:rsidP="00B7235E">
      <w:pPr>
        <w:jc w:val="both"/>
        <w:rPr>
          <w:szCs w:val="24"/>
          <w:lang w:val="en-GB"/>
        </w:rPr>
      </w:pPr>
    </w:p>
    <w:p w:rsidR="00B7235E" w:rsidRPr="00E93012" w:rsidRDefault="00B7235E" w:rsidP="00B7235E">
      <w:pPr>
        <w:spacing w:line="360" w:lineRule="auto"/>
        <w:jc w:val="both"/>
        <w:rPr>
          <w:szCs w:val="24"/>
          <w:lang w:val="en-GB"/>
        </w:rPr>
      </w:pPr>
      <w:r w:rsidRPr="00E93012">
        <w:rPr>
          <w:szCs w:val="24"/>
          <w:lang w:val="en-GB"/>
        </w:rPr>
        <w:t xml:space="preserve">The financial safety net index (FSN </w:t>
      </w:r>
      <w:r>
        <w:rPr>
          <w:szCs w:val="24"/>
          <w:lang w:val="en-GB"/>
        </w:rPr>
        <w:t>i</w:t>
      </w:r>
      <w:r w:rsidRPr="00E93012">
        <w:rPr>
          <w:szCs w:val="24"/>
          <w:lang w:val="en-GB"/>
        </w:rPr>
        <w:t>ndex) is based on the following assumptions:</w:t>
      </w:r>
    </w:p>
    <w:p w:rsidR="00B7235E" w:rsidRPr="00E93012" w:rsidRDefault="00B7235E" w:rsidP="00B7235E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E</w:t>
      </w:r>
      <w:r w:rsidRPr="00E93012">
        <w:rPr>
          <w:rFonts w:ascii="Times New Roman" w:hAnsi="Times New Roman" w:cs="Times New Roman"/>
          <w:sz w:val="24"/>
          <w:szCs w:val="24"/>
          <w:lang w:val="en-GB"/>
        </w:rPr>
        <w:t xml:space="preserve">ach component in the financial safety net is treated equally (financial supervision, deposit guarantee scheme, responsibility for financial stability and resolution), </w:t>
      </w:r>
      <w:r>
        <w:rPr>
          <w:rFonts w:ascii="Times New Roman" w:hAnsi="Times New Roman" w:cs="Times New Roman"/>
          <w:sz w:val="24"/>
          <w:szCs w:val="24"/>
          <w:lang w:val="en-GB"/>
        </w:rPr>
        <w:t>such that</w:t>
      </w:r>
      <w:r w:rsidRPr="00E93012">
        <w:rPr>
          <w:rFonts w:ascii="Times New Roman" w:hAnsi="Times New Roman" w:cs="Times New Roman"/>
          <w:sz w:val="24"/>
          <w:szCs w:val="24"/>
          <w:lang w:val="en-GB"/>
        </w:rPr>
        <w:t xml:space="preserve"> each may be assigned a score ranging from 0 to 1</w:t>
      </w:r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r w:rsidRPr="00E9301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>T</w:t>
      </w:r>
      <w:r w:rsidRPr="00E93012">
        <w:rPr>
          <w:rFonts w:ascii="Times New Roman" w:hAnsi="Times New Roman" w:cs="Times New Roman"/>
          <w:sz w:val="24"/>
          <w:szCs w:val="24"/>
          <w:lang w:val="en-GB"/>
        </w:rPr>
        <w:t>he overall index ranges from 0 to 4</w:t>
      </w:r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B7235E" w:rsidRPr="00E93012" w:rsidRDefault="00B7235E" w:rsidP="00B7235E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In</w:t>
      </w:r>
      <w:r w:rsidRPr="00E93012">
        <w:rPr>
          <w:rFonts w:ascii="Times New Roman" w:hAnsi="Times New Roman" w:cs="Times New Roman"/>
          <w:sz w:val="24"/>
          <w:szCs w:val="24"/>
          <w:lang w:val="en-GB"/>
        </w:rPr>
        <w:t xml:space="preserve"> the case of financial supervision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Pr="00E93012">
        <w:rPr>
          <w:rFonts w:ascii="Times New Roman" w:hAnsi="Times New Roman" w:cs="Times New Roman"/>
          <w:sz w:val="24"/>
          <w:szCs w:val="24"/>
          <w:lang w:val="en-GB"/>
        </w:rPr>
        <w:t>we take into account the “evolution path” of the institutional form of financial supervision in order to assign scores</w:t>
      </w:r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r w:rsidRPr="00E9301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>S</w:t>
      </w:r>
      <w:r w:rsidRPr="00E93012">
        <w:rPr>
          <w:rFonts w:ascii="Times New Roman" w:hAnsi="Times New Roman" w:cs="Times New Roman"/>
          <w:sz w:val="24"/>
          <w:szCs w:val="24"/>
          <w:lang w:val="en-GB"/>
        </w:rPr>
        <w:t xml:space="preserve">olo (or stand-alone) supervision is assigned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a score of </w:t>
      </w:r>
      <w:r w:rsidRPr="00E93012">
        <w:rPr>
          <w:rFonts w:ascii="Times New Roman" w:hAnsi="Times New Roman" w:cs="Times New Roman"/>
          <w:sz w:val="24"/>
          <w:szCs w:val="24"/>
          <w:lang w:val="en-GB"/>
        </w:rPr>
        <w:t>0</w:t>
      </w:r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r w:rsidRPr="00E93012">
        <w:rPr>
          <w:rFonts w:ascii="Times New Roman" w:hAnsi="Times New Roman" w:cs="Times New Roman"/>
          <w:sz w:val="24"/>
          <w:szCs w:val="24"/>
          <w:lang w:val="en-GB"/>
        </w:rPr>
        <w:t xml:space="preserve">25, mixed </w:t>
      </w:r>
      <w:r>
        <w:rPr>
          <w:rFonts w:ascii="Times New Roman" w:hAnsi="Times New Roman" w:cs="Times New Roman"/>
          <w:sz w:val="24"/>
          <w:szCs w:val="24"/>
          <w:lang w:val="en-GB"/>
        </w:rPr>
        <w:t>is assigned</w:t>
      </w:r>
      <w:r w:rsidRPr="006A35AE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>a score of</w:t>
      </w:r>
      <w:r w:rsidRPr="00E93012">
        <w:rPr>
          <w:rFonts w:ascii="Times New Roman" w:hAnsi="Times New Roman" w:cs="Times New Roman"/>
          <w:sz w:val="24"/>
          <w:szCs w:val="24"/>
          <w:lang w:val="en-GB"/>
        </w:rPr>
        <w:t xml:space="preserve"> 0</w:t>
      </w:r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r w:rsidRPr="00E93012">
        <w:rPr>
          <w:rFonts w:ascii="Times New Roman" w:hAnsi="Times New Roman" w:cs="Times New Roman"/>
          <w:sz w:val="24"/>
          <w:szCs w:val="24"/>
          <w:lang w:val="en-GB"/>
        </w:rPr>
        <w:t xml:space="preserve">5, integrated </w:t>
      </w:r>
      <w:r>
        <w:rPr>
          <w:rFonts w:ascii="Times New Roman" w:hAnsi="Times New Roman" w:cs="Times New Roman"/>
          <w:sz w:val="24"/>
          <w:szCs w:val="24"/>
          <w:lang w:val="en-GB"/>
        </w:rPr>
        <w:t>is assigned</w:t>
      </w:r>
      <w:r w:rsidRPr="006A35AE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a score of </w:t>
      </w:r>
      <w:r w:rsidRPr="00E93012">
        <w:rPr>
          <w:rFonts w:ascii="Times New Roman" w:hAnsi="Times New Roman" w:cs="Times New Roman"/>
          <w:sz w:val="24"/>
          <w:szCs w:val="24"/>
          <w:lang w:val="en-GB"/>
        </w:rPr>
        <w:t>0</w:t>
      </w:r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r w:rsidRPr="00E93012">
        <w:rPr>
          <w:rFonts w:ascii="Times New Roman" w:hAnsi="Times New Roman" w:cs="Times New Roman"/>
          <w:sz w:val="24"/>
          <w:szCs w:val="24"/>
          <w:lang w:val="en-GB"/>
        </w:rPr>
        <w:t>75 and twin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E93012">
        <w:rPr>
          <w:rFonts w:ascii="Times New Roman" w:hAnsi="Times New Roman" w:cs="Times New Roman"/>
          <w:sz w:val="24"/>
          <w:szCs w:val="24"/>
          <w:lang w:val="en-GB"/>
        </w:rPr>
        <w:t>peaks (</w:t>
      </w:r>
      <w:r>
        <w:rPr>
          <w:rFonts w:ascii="Times New Roman" w:hAnsi="Times New Roman" w:cs="Times New Roman"/>
          <w:sz w:val="24"/>
          <w:szCs w:val="24"/>
          <w:lang w:val="en-GB"/>
        </w:rPr>
        <w:t>the</w:t>
      </w:r>
      <w:r w:rsidRPr="00E93012">
        <w:rPr>
          <w:rFonts w:ascii="Times New Roman" w:hAnsi="Times New Roman" w:cs="Times New Roman"/>
          <w:sz w:val="24"/>
          <w:szCs w:val="24"/>
          <w:lang w:val="en-GB"/>
        </w:rPr>
        <w:t xml:space="preserve"> most modern institutional form)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is assigned</w:t>
      </w:r>
      <w:r w:rsidRPr="006A35AE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a score of </w:t>
      </w:r>
      <w:r w:rsidRPr="00E93012">
        <w:rPr>
          <w:rFonts w:ascii="Times New Roman" w:hAnsi="Times New Roman" w:cs="Times New Roman"/>
          <w:sz w:val="24"/>
          <w:szCs w:val="24"/>
          <w:lang w:val="en-GB"/>
        </w:rPr>
        <w:t>1</w:t>
      </w:r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B7235E" w:rsidRPr="00E93012" w:rsidRDefault="00B7235E" w:rsidP="00B7235E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In</w:t>
      </w:r>
      <w:r w:rsidRPr="00E93012">
        <w:rPr>
          <w:rFonts w:ascii="Times New Roman" w:hAnsi="Times New Roman" w:cs="Times New Roman"/>
          <w:sz w:val="24"/>
          <w:szCs w:val="24"/>
          <w:lang w:val="en-GB"/>
        </w:rPr>
        <w:t xml:space="preserve"> the case of deposit guarantee schemes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Pr="00E93012">
        <w:rPr>
          <w:rFonts w:ascii="Times New Roman" w:hAnsi="Times New Roman" w:cs="Times New Roman"/>
          <w:sz w:val="24"/>
          <w:szCs w:val="24"/>
          <w:lang w:val="en-GB"/>
        </w:rPr>
        <w:t>we take into account the level of guarantees to GDP per capita and the type of financing (ex-ante vs. ex-post)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. If </w:t>
      </w:r>
      <w:r w:rsidRPr="00E93012">
        <w:rPr>
          <w:rFonts w:ascii="Times New Roman" w:hAnsi="Times New Roman" w:cs="Times New Roman"/>
          <w:sz w:val="24"/>
          <w:szCs w:val="24"/>
          <w:lang w:val="en-GB"/>
        </w:rPr>
        <w:t xml:space="preserve">the level of guarantees to GDP is lower than 1, we assign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a score of </w:t>
      </w:r>
      <w:r w:rsidRPr="00E93012">
        <w:rPr>
          <w:rFonts w:ascii="Times New Roman" w:hAnsi="Times New Roman" w:cs="Times New Roman"/>
          <w:sz w:val="24"/>
          <w:szCs w:val="24"/>
          <w:lang w:val="en-GB"/>
        </w:rPr>
        <w:t>0</w:t>
      </w:r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r w:rsidRPr="00E93012">
        <w:rPr>
          <w:rFonts w:ascii="Times New Roman" w:hAnsi="Times New Roman" w:cs="Times New Roman"/>
          <w:sz w:val="24"/>
          <w:szCs w:val="24"/>
          <w:lang w:val="en-GB"/>
        </w:rPr>
        <w:t>25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; </w:t>
      </w:r>
      <w:r w:rsidRPr="00E93012">
        <w:rPr>
          <w:rFonts w:ascii="Times New Roman" w:hAnsi="Times New Roman" w:cs="Times New Roman"/>
          <w:sz w:val="24"/>
          <w:szCs w:val="24"/>
          <w:lang w:val="en-GB"/>
        </w:rPr>
        <w:t>if it is higher than 1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, we assign a score of </w:t>
      </w:r>
      <w:r w:rsidRPr="00E93012">
        <w:rPr>
          <w:rFonts w:ascii="Times New Roman" w:hAnsi="Times New Roman" w:cs="Times New Roman"/>
          <w:sz w:val="24"/>
          <w:szCs w:val="24"/>
          <w:lang w:val="en-GB"/>
        </w:rPr>
        <w:t>0</w:t>
      </w:r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r w:rsidRPr="00E93012">
        <w:rPr>
          <w:rFonts w:ascii="Times New Roman" w:hAnsi="Times New Roman" w:cs="Times New Roman"/>
          <w:sz w:val="24"/>
          <w:szCs w:val="24"/>
          <w:lang w:val="en-GB"/>
        </w:rPr>
        <w:t>5; if there is no deposit guarantee scheme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Pr="00E93012">
        <w:rPr>
          <w:rFonts w:ascii="Times New Roman" w:hAnsi="Times New Roman" w:cs="Times New Roman"/>
          <w:sz w:val="24"/>
          <w:szCs w:val="24"/>
          <w:lang w:val="en-GB"/>
        </w:rPr>
        <w:t>we assign</w:t>
      </w:r>
      <w:r w:rsidRPr="006A35AE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>a score of</w:t>
      </w:r>
      <w:r w:rsidRPr="00E93012">
        <w:rPr>
          <w:rFonts w:ascii="Times New Roman" w:hAnsi="Times New Roman" w:cs="Times New Roman"/>
          <w:sz w:val="24"/>
          <w:szCs w:val="24"/>
          <w:lang w:val="en-GB"/>
        </w:rPr>
        <w:t xml:space="preserve"> 0</w:t>
      </w:r>
      <w:r>
        <w:rPr>
          <w:rFonts w:ascii="Times New Roman" w:hAnsi="Times New Roman" w:cs="Times New Roman"/>
          <w:sz w:val="24"/>
          <w:szCs w:val="24"/>
          <w:lang w:val="en-GB"/>
        </w:rPr>
        <w:t>. E</w:t>
      </w:r>
      <w:r w:rsidRPr="00E93012">
        <w:rPr>
          <w:rFonts w:ascii="Times New Roman" w:hAnsi="Times New Roman" w:cs="Times New Roman"/>
          <w:sz w:val="24"/>
          <w:szCs w:val="24"/>
          <w:lang w:val="en-GB"/>
        </w:rPr>
        <w:t>x-post financing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is</w:t>
      </w:r>
      <w:r w:rsidRPr="00E93012">
        <w:rPr>
          <w:rFonts w:ascii="Times New Roman" w:hAnsi="Times New Roman" w:cs="Times New Roman"/>
          <w:sz w:val="24"/>
          <w:szCs w:val="24"/>
          <w:lang w:val="en-GB"/>
        </w:rPr>
        <w:t xml:space="preserve"> assign</w:t>
      </w:r>
      <w:r>
        <w:rPr>
          <w:rFonts w:ascii="Times New Roman" w:hAnsi="Times New Roman" w:cs="Times New Roman"/>
          <w:sz w:val="24"/>
          <w:szCs w:val="24"/>
          <w:lang w:val="en-GB"/>
        </w:rPr>
        <w:t>ed</w:t>
      </w:r>
      <w:r w:rsidRPr="006A35AE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>a score of</w:t>
      </w:r>
      <w:r w:rsidRPr="00E93012">
        <w:rPr>
          <w:rFonts w:ascii="Times New Roman" w:hAnsi="Times New Roman" w:cs="Times New Roman"/>
          <w:sz w:val="24"/>
          <w:szCs w:val="24"/>
          <w:lang w:val="en-GB"/>
        </w:rPr>
        <w:t xml:space="preserve"> 0, while ex-ante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financing is assigned a score of </w:t>
      </w:r>
      <w:r w:rsidRPr="00E93012">
        <w:rPr>
          <w:rFonts w:ascii="Times New Roman" w:hAnsi="Times New Roman" w:cs="Times New Roman"/>
          <w:sz w:val="24"/>
          <w:szCs w:val="24"/>
          <w:lang w:val="en-GB"/>
        </w:rPr>
        <w:t>0</w:t>
      </w:r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r w:rsidRPr="00E93012">
        <w:rPr>
          <w:rFonts w:ascii="Times New Roman" w:hAnsi="Times New Roman" w:cs="Times New Roman"/>
          <w:sz w:val="24"/>
          <w:szCs w:val="24"/>
          <w:lang w:val="en-GB"/>
        </w:rPr>
        <w:t>5</w:t>
      </w:r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B7235E" w:rsidRPr="00E93012" w:rsidRDefault="00B7235E" w:rsidP="00B7235E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T</w:t>
      </w:r>
      <w:r w:rsidRPr="00E93012">
        <w:rPr>
          <w:rFonts w:ascii="Times New Roman" w:hAnsi="Times New Roman" w:cs="Times New Roman"/>
          <w:sz w:val="24"/>
          <w:szCs w:val="24"/>
          <w:lang w:val="en-GB"/>
        </w:rPr>
        <w:t xml:space="preserve">he mandate to keep an eye on financial stability has </w:t>
      </w:r>
      <w:r>
        <w:rPr>
          <w:rFonts w:ascii="Times New Roman" w:hAnsi="Times New Roman" w:cs="Times New Roman"/>
          <w:sz w:val="24"/>
          <w:szCs w:val="24"/>
          <w:lang w:val="en-GB"/>
        </w:rPr>
        <w:t>recently begun</w:t>
      </w:r>
      <w:r w:rsidRPr="00E93012">
        <w:rPr>
          <w:rFonts w:ascii="Times New Roman" w:hAnsi="Times New Roman" w:cs="Times New Roman"/>
          <w:sz w:val="24"/>
          <w:szCs w:val="24"/>
          <w:lang w:val="en-GB"/>
        </w:rPr>
        <w:t xml:space="preserve"> to be assigned to central banks</w:t>
      </w:r>
      <w:r>
        <w:rPr>
          <w:rFonts w:ascii="Times New Roman" w:hAnsi="Times New Roman" w:cs="Times New Roman"/>
          <w:sz w:val="24"/>
          <w:szCs w:val="24"/>
          <w:lang w:val="en-GB"/>
        </w:rPr>
        <w:t>. I</w:t>
      </w:r>
      <w:r w:rsidRPr="00E93012">
        <w:rPr>
          <w:rFonts w:ascii="Times New Roman" w:hAnsi="Times New Roman" w:cs="Times New Roman"/>
          <w:sz w:val="24"/>
          <w:szCs w:val="24"/>
          <w:lang w:val="en-GB"/>
        </w:rPr>
        <w:t xml:space="preserve">n </w:t>
      </w:r>
      <w:r>
        <w:rPr>
          <w:rFonts w:ascii="Times New Roman" w:hAnsi="Times New Roman" w:cs="Times New Roman"/>
          <w:sz w:val="24"/>
          <w:szCs w:val="24"/>
          <w:lang w:val="en-GB"/>
        </w:rPr>
        <w:t>cases for which</w:t>
      </w:r>
      <w:r w:rsidRPr="00E93012">
        <w:rPr>
          <w:rFonts w:ascii="Times New Roman" w:hAnsi="Times New Roman" w:cs="Times New Roman"/>
          <w:sz w:val="24"/>
          <w:szCs w:val="24"/>
          <w:lang w:val="en-GB"/>
        </w:rPr>
        <w:t xml:space="preserve"> such a mandate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exists, </w:t>
      </w:r>
      <w:r w:rsidRPr="00E93012">
        <w:rPr>
          <w:rFonts w:ascii="Times New Roman" w:hAnsi="Times New Roman" w:cs="Times New Roman"/>
          <w:sz w:val="24"/>
          <w:szCs w:val="24"/>
          <w:lang w:val="en-GB"/>
        </w:rPr>
        <w:t xml:space="preserve">we assign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a score of </w:t>
      </w:r>
      <w:r w:rsidRPr="00E93012">
        <w:rPr>
          <w:rFonts w:ascii="Times New Roman" w:hAnsi="Times New Roman" w:cs="Times New Roman"/>
          <w:sz w:val="24"/>
          <w:szCs w:val="24"/>
          <w:lang w:val="en-GB"/>
        </w:rPr>
        <w:t>0</w:t>
      </w:r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r w:rsidRPr="00E93012">
        <w:rPr>
          <w:rFonts w:ascii="Times New Roman" w:hAnsi="Times New Roman" w:cs="Times New Roman"/>
          <w:sz w:val="24"/>
          <w:szCs w:val="24"/>
          <w:lang w:val="en-GB"/>
        </w:rPr>
        <w:t>5</w:t>
      </w:r>
      <w:r>
        <w:rPr>
          <w:rFonts w:ascii="Times New Roman" w:hAnsi="Times New Roman" w:cs="Times New Roman"/>
          <w:sz w:val="24"/>
          <w:szCs w:val="24"/>
          <w:lang w:val="en-GB"/>
        </w:rPr>
        <w:t>. T</w:t>
      </w:r>
      <w:r w:rsidRPr="00E93012">
        <w:rPr>
          <w:rFonts w:ascii="Times New Roman" w:hAnsi="Times New Roman" w:cs="Times New Roman"/>
          <w:sz w:val="24"/>
          <w:szCs w:val="24"/>
          <w:lang w:val="en-GB"/>
        </w:rPr>
        <w:t xml:space="preserve">he same score </w:t>
      </w:r>
      <w:r>
        <w:rPr>
          <w:rFonts w:ascii="Times New Roman" w:hAnsi="Times New Roman" w:cs="Times New Roman"/>
          <w:sz w:val="24"/>
          <w:szCs w:val="24"/>
          <w:lang w:val="en-GB"/>
        </w:rPr>
        <w:t>is</w:t>
      </w:r>
      <w:r w:rsidRPr="00E93012">
        <w:rPr>
          <w:rFonts w:ascii="Times New Roman" w:hAnsi="Times New Roman" w:cs="Times New Roman"/>
          <w:sz w:val="24"/>
          <w:szCs w:val="24"/>
          <w:lang w:val="en-GB"/>
        </w:rPr>
        <w:t xml:space="preserve"> given for the existence of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a </w:t>
      </w:r>
      <w:r w:rsidRPr="00E93012">
        <w:rPr>
          <w:rFonts w:ascii="Times New Roman" w:hAnsi="Times New Roman" w:cs="Times New Roman"/>
          <w:sz w:val="24"/>
          <w:szCs w:val="24"/>
          <w:lang w:val="en-GB"/>
        </w:rPr>
        <w:t>financial stability committee</w:t>
      </w:r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B7235E" w:rsidRPr="00E93012" w:rsidRDefault="00B7235E" w:rsidP="00B7235E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Since</w:t>
      </w:r>
      <w:r w:rsidRPr="00E93012">
        <w:rPr>
          <w:rFonts w:ascii="Times New Roman" w:hAnsi="Times New Roman" w:cs="Times New Roman"/>
          <w:sz w:val="24"/>
          <w:szCs w:val="24"/>
          <w:lang w:val="en-GB"/>
        </w:rPr>
        <w:t xml:space="preserve"> regulations on resolution</w:t>
      </w:r>
      <w:r>
        <w:rPr>
          <w:rFonts w:ascii="Times New Roman" w:hAnsi="Times New Roman" w:cs="Times New Roman"/>
          <w:sz w:val="24"/>
          <w:szCs w:val="24"/>
          <w:lang w:val="en-GB"/>
        </w:rPr>
        <w:t>s</w:t>
      </w:r>
      <w:r w:rsidRPr="00E93012">
        <w:rPr>
          <w:rFonts w:ascii="Times New Roman" w:hAnsi="Times New Roman" w:cs="Times New Roman"/>
          <w:sz w:val="24"/>
          <w:szCs w:val="24"/>
          <w:lang w:val="en-GB"/>
        </w:rPr>
        <w:t xml:space="preserve"> are being implemented in the EU and other countries, we assign</w:t>
      </w:r>
      <w:r w:rsidRPr="006A35AE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>a score of</w:t>
      </w:r>
      <w:r w:rsidRPr="00E93012">
        <w:rPr>
          <w:rFonts w:ascii="Times New Roman" w:hAnsi="Times New Roman" w:cs="Times New Roman"/>
          <w:sz w:val="24"/>
          <w:szCs w:val="24"/>
          <w:lang w:val="en-GB"/>
        </w:rPr>
        <w:t xml:space="preserve"> 1 </w:t>
      </w:r>
      <w:r>
        <w:rPr>
          <w:rFonts w:ascii="Times New Roman" w:hAnsi="Times New Roman" w:cs="Times New Roman"/>
          <w:sz w:val="24"/>
          <w:szCs w:val="24"/>
          <w:lang w:val="en-GB"/>
        </w:rPr>
        <w:t>for</w:t>
      </w:r>
      <w:r w:rsidRPr="00E93012">
        <w:rPr>
          <w:rFonts w:ascii="Times New Roman" w:hAnsi="Times New Roman" w:cs="Times New Roman"/>
          <w:sz w:val="24"/>
          <w:szCs w:val="24"/>
          <w:lang w:val="en-GB"/>
        </w:rPr>
        <w:t xml:space="preserve"> the case of setting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E93012">
        <w:rPr>
          <w:rFonts w:ascii="Times New Roman" w:hAnsi="Times New Roman" w:cs="Times New Roman"/>
          <w:sz w:val="24"/>
          <w:szCs w:val="24"/>
          <w:lang w:val="en-GB"/>
        </w:rPr>
        <w:t>up an institution responsible for resolution.</w:t>
      </w:r>
    </w:p>
    <w:p w:rsidR="00B7235E" w:rsidRPr="00E93012" w:rsidRDefault="00B7235E" w:rsidP="00B7235E">
      <w:pPr>
        <w:rPr>
          <w:lang w:val="en-GB"/>
        </w:rPr>
      </w:pPr>
    </w:p>
    <w:p w:rsidR="00B7235E" w:rsidRPr="00AF315D" w:rsidRDefault="00B7235E" w:rsidP="00B7235E">
      <w:pPr>
        <w:jc w:val="both"/>
        <w:rPr>
          <w:color w:val="000000" w:themeColor="text1"/>
          <w:sz w:val="20"/>
          <w:szCs w:val="24"/>
          <w:lang w:val="en-GB"/>
        </w:rPr>
      </w:pPr>
    </w:p>
    <w:p w:rsidR="00E66348" w:rsidRPr="00B7235E" w:rsidRDefault="00E66348">
      <w:pPr>
        <w:rPr>
          <w:lang w:val="en-GB"/>
        </w:rPr>
      </w:pPr>
      <w:bookmarkStart w:id="0" w:name="_GoBack"/>
      <w:bookmarkEnd w:id="0"/>
    </w:p>
    <w:sectPr w:rsidR="00E66348" w:rsidRPr="00B7235E" w:rsidSect="007D7D9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66B4" w:rsidRDefault="004A66B4" w:rsidP="00B7235E">
      <w:r>
        <w:separator/>
      </w:r>
    </w:p>
  </w:endnote>
  <w:endnote w:type="continuationSeparator" w:id="0">
    <w:p w:rsidR="004A66B4" w:rsidRDefault="004A66B4" w:rsidP="00B72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4188617"/>
      <w:docPartObj>
        <w:docPartGallery w:val="Page Numbers (Bottom of Page)"/>
        <w:docPartUnique/>
      </w:docPartObj>
    </w:sdtPr>
    <w:sdtEndPr/>
    <w:sdtContent>
      <w:p w:rsidR="003B1352" w:rsidRDefault="004A66B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235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B1352" w:rsidRDefault="004A66B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66B4" w:rsidRDefault="004A66B4" w:rsidP="00B7235E">
      <w:r>
        <w:separator/>
      </w:r>
    </w:p>
  </w:footnote>
  <w:footnote w:type="continuationSeparator" w:id="0">
    <w:p w:rsidR="004A66B4" w:rsidRDefault="004A66B4" w:rsidP="00B7235E">
      <w:r>
        <w:continuationSeparator/>
      </w:r>
    </w:p>
  </w:footnote>
  <w:footnote w:id="1">
    <w:p w:rsidR="00B7235E" w:rsidRPr="0081021A" w:rsidRDefault="00B7235E" w:rsidP="00B7235E">
      <w:pPr>
        <w:pStyle w:val="Tekstprzypisudolnego"/>
        <w:jc w:val="both"/>
        <w:rPr>
          <w:rFonts w:ascii="Times New Roman" w:hAnsi="Times New Roman" w:cs="Times New Roman"/>
          <w:lang w:val="en-GB"/>
        </w:rPr>
      </w:pPr>
      <w:r w:rsidRPr="0081021A">
        <w:rPr>
          <w:rStyle w:val="Odwoanieprzypisudolnego"/>
          <w:rFonts w:ascii="Times New Roman" w:hAnsi="Times New Roman" w:cs="Times New Roman"/>
        </w:rPr>
        <w:footnoteRef/>
      </w:r>
      <w:r w:rsidRPr="0081021A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The </w:t>
      </w:r>
      <w:r w:rsidRPr="007A0885">
        <w:rPr>
          <w:rFonts w:ascii="Times New Roman" w:hAnsi="Times New Roman" w:cs="Times New Roman"/>
          <w:lang w:val="en-GB"/>
        </w:rPr>
        <w:t xml:space="preserve">FSN index was developed within a study funded by </w:t>
      </w:r>
      <w:r>
        <w:rPr>
          <w:rFonts w:ascii="Times New Roman" w:hAnsi="Times New Roman" w:cs="Times New Roman"/>
          <w:lang w:val="en-GB"/>
        </w:rPr>
        <w:t xml:space="preserve">the </w:t>
      </w:r>
      <w:r w:rsidRPr="007A0885">
        <w:rPr>
          <w:rFonts w:ascii="Times New Roman" w:hAnsi="Times New Roman" w:cs="Times New Roman"/>
          <w:lang w:val="en-GB"/>
        </w:rPr>
        <w:t>College of Man</w:t>
      </w:r>
      <w:r w:rsidRPr="006C26A8">
        <w:rPr>
          <w:rFonts w:ascii="Times New Roman" w:hAnsi="Times New Roman" w:cs="Times New Roman"/>
          <w:lang w:val="en-GB"/>
        </w:rPr>
        <w:t>agement and Finance, Warsaw School of Economics (funding no. KZIF/S/12/15).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8215CA"/>
    <w:multiLevelType w:val="hybridMultilevel"/>
    <w:tmpl w:val="44E6B5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35E"/>
    <w:rsid w:val="004A66B4"/>
    <w:rsid w:val="00B7235E"/>
    <w:rsid w:val="00E6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A8CE0C-0F14-4C4F-AF8D-A05744FF6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7235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Reference Superscript,ftref,BVI fnr,Footnote symbol,EN Footnote Reference,Times 10 Point,Exposant 3 Point,Footnote reference number,note TESI,stylish"/>
    <w:semiHidden/>
    <w:rsid w:val="00B7235E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B723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235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Tabela"/>
    <w:basedOn w:val="Normalny"/>
    <w:link w:val="AkapitzlistZnak"/>
    <w:uiPriority w:val="34"/>
    <w:qFormat/>
    <w:rsid w:val="00B7235E"/>
    <w:pPr>
      <w:widowControl/>
      <w:suppressAutoHyphens w:val="0"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Tekstprzypisudolnego">
    <w:name w:val="footnote text"/>
    <w:basedOn w:val="Normalny"/>
    <w:link w:val="TekstprzypisudolnegoZnak"/>
    <w:unhideWhenUsed/>
    <w:rsid w:val="00B7235E"/>
    <w:pPr>
      <w:widowControl/>
      <w:suppressAutoHyphens w:val="0"/>
    </w:pPr>
    <w:rPr>
      <w:rFonts w:asciiTheme="minorHAnsi" w:eastAsiaTheme="minorHAnsi" w:hAnsiTheme="minorHAnsi" w:cstheme="minorBidi"/>
      <w:sz w:val="20"/>
      <w:lang w:val="en-US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B7235E"/>
    <w:rPr>
      <w:sz w:val="20"/>
      <w:szCs w:val="20"/>
      <w:lang w:val="en-US"/>
    </w:rPr>
  </w:style>
  <w:style w:type="character" w:customStyle="1" w:styleId="AkapitzlistZnak">
    <w:name w:val="Akapit z listą Znak"/>
    <w:aliases w:val="Tabela Znak"/>
    <w:basedOn w:val="Domylnaczcionkaakapitu"/>
    <w:link w:val="Akapitzlist"/>
    <w:uiPriority w:val="34"/>
    <w:locked/>
    <w:rsid w:val="00B7235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 Iwanicz-Drozdowska</dc:creator>
  <cp:keywords/>
  <dc:description/>
  <cp:lastModifiedBy>Malgorzata Iwanicz-Drozdowska</cp:lastModifiedBy>
  <cp:revision>1</cp:revision>
  <dcterms:created xsi:type="dcterms:W3CDTF">2016-09-23T11:05:00Z</dcterms:created>
  <dcterms:modified xsi:type="dcterms:W3CDTF">2016-09-23T11:06:00Z</dcterms:modified>
</cp:coreProperties>
</file>