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802" w:rsidRDefault="00AC2802" w:rsidP="00D17A2C">
      <w:pPr>
        <w:pStyle w:val="CoverTitle"/>
        <w:spacing w:line="264" w:lineRule="auto"/>
      </w:pPr>
      <w:bookmarkStart w:id="0" w:name="bkBodyText"/>
      <w:bookmarkStart w:id="1" w:name="title2"/>
      <w:bookmarkEnd w:id="0"/>
      <w:r>
        <w:t>Appendix to:</w:t>
      </w:r>
    </w:p>
    <w:p w:rsidR="00AC2802" w:rsidRDefault="00AC2802" w:rsidP="00AC2802">
      <w:pPr>
        <w:pStyle w:val="CoverTitle"/>
        <w:spacing w:line="264" w:lineRule="auto"/>
      </w:pPr>
      <w:r>
        <w:t>Effects of Fiscal Consolidation</w:t>
      </w:r>
      <w:r>
        <w:br/>
        <w:t>in the Czech Republic</w:t>
      </w:r>
      <w:r>
        <w:br/>
      </w:r>
    </w:p>
    <w:p w:rsidR="00AC2802" w:rsidRDefault="00AC2802" w:rsidP="00AC2802">
      <w:pPr>
        <w:pStyle w:val="CoverAuthor"/>
      </w:pPr>
      <w:bookmarkStart w:id="2" w:name="authors2"/>
      <w:bookmarkEnd w:id="1"/>
      <w:r>
        <w:t>Vladimir Klyuev and Stephen Snudden</w:t>
      </w:r>
    </w:p>
    <w:bookmarkEnd w:id="2"/>
    <w:p w:rsidR="00AC2802" w:rsidRPr="000D3D7F" w:rsidRDefault="00AC2802" w:rsidP="00AC2802">
      <w:pPr>
        <w:spacing w:line="264" w:lineRule="auto"/>
      </w:pPr>
    </w:p>
    <w:p w:rsidR="00AC2802" w:rsidRPr="000D3D7F" w:rsidRDefault="00AC2802" w:rsidP="00AC2802">
      <w:pPr>
        <w:spacing w:line="264" w:lineRule="auto"/>
        <w:sectPr w:rsidR="00AC2802" w:rsidRPr="000D3D7F" w:rsidSect="00DA2262">
          <w:type w:val="continuous"/>
          <w:pgSz w:w="12240" w:h="15840" w:code="1"/>
          <w:pgMar w:top="5400" w:right="1440" w:bottom="1440" w:left="1440" w:header="720" w:footer="720" w:gutter="0"/>
          <w:cols w:space="720"/>
          <w:titlePg/>
        </w:sectPr>
      </w:pPr>
    </w:p>
    <w:p w:rsidR="00AC2802" w:rsidRDefault="00AC2802" w:rsidP="00AC2802">
      <w:pPr>
        <w:pStyle w:val="WPNumber"/>
      </w:pPr>
      <w:r>
        <w:lastRenderedPageBreak/>
        <w:tab/>
      </w:r>
      <w:bookmarkStart w:id="3" w:name="docid"/>
      <w:bookmarkEnd w:id="3"/>
      <w:r>
        <w:t xml:space="preserve"> </w:t>
      </w:r>
      <w:bookmarkStart w:id="4" w:name="docidb"/>
      <w:bookmarkEnd w:id="4"/>
    </w:p>
    <w:p w:rsidR="005A528B" w:rsidRPr="00E31526" w:rsidRDefault="00E31526" w:rsidP="00DD269C">
      <w:pPr>
        <w:spacing w:line="264" w:lineRule="auto"/>
        <w:jc w:val="center"/>
        <w:rPr>
          <w:b/>
          <w:noProof/>
        </w:rPr>
      </w:pPr>
      <w:bookmarkStart w:id="5" w:name="title"/>
      <w:bookmarkEnd w:id="5"/>
      <w:r>
        <w:rPr>
          <w:noProof/>
        </w:rPr>
        <w:br w:type="page"/>
      </w:r>
      <w:r w:rsidR="00C41224">
        <w:rPr>
          <w:b/>
          <w:noProof/>
        </w:rPr>
        <w:lastRenderedPageBreak/>
        <w:t xml:space="preserve">Appendix I </w:t>
      </w:r>
      <w:r w:rsidR="005A528B" w:rsidRPr="00E31526">
        <w:rPr>
          <w:b/>
          <w:noProof/>
        </w:rPr>
        <w:t xml:space="preserve"> </w:t>
      </w:r>
      <w:r w:rsidR="005A528B">
        <w:rPr>
          <w:b/>
          <w:noProof/>
        </w:rPr>
        <w:t>Calibration Parameters</w:t>
      </w:r>
    </w:p>
    <w:p w:rsidR="00D9538B" w:rsidRDefault="00D9538B" w:rsidP="00DD269C">
      <w:pPr>
        <w:autoSpaceDE w:val="0"/>
        <w:autoSpaceDN w:val="0"/>
        <w:adjustRightInd w:val="0"/>
        <w:spacing w:line="264" w:lineRule="auto"/>
        <w:ind w:left="720" w:hanging="720"/>
        <w:jc w:val="center"/>
        <w:rPr>
          <w:b/>
        </w:rPr>
      </w:pPr>
    </w:p>
    <w:tbl>
      <w:tblPr>
        <w:tblW w:w="8295" w:type="dxa"/>
        <w:tblInd w:w="93" w:type="dxa"/>
        <w:tblLook w:val="04A0"/>
      </w:tblPr>
      <w:tblGrid>
        <w:gridCol w:w="3654"/>
        <w:gridCol w:w="2220"/>
        <w:gridCol w:w="2421"/>
      </w:tblGrid>
      <w:tr w:rsidR="00D9538B" w:rsidRPr="000B133E" w:rsidTr="006063D1">
        <w:trPr>
          <w:trHeight w:val="315"/>
        </w:trPr>
        <w:tc>
          <w:tcPr>
            <w:tcW w:w="8295" w:type="dxa"/>
            <w:gridSpan w:val="3"/>
            <w:tcBorders>
              <w:top w:val="double" w:sz="6" w:space="0" w:color="auto"/>
              <w:left w:val="nil"/>
              <w:bottom w:val="nil"/>
              <w:right w:val="nil"/>
            </w:tcBorders>
            <w:noWrap/>
            <w:vAlign w:val="bottom"/>
          </w:tcPr>
          <w:p w:rsidR="00D9538B" w:rsidRPr="000B133E" w:rsidRDefault="00D9538B" w:rsidP="00DD269C">
            <w:pPr>
              <w:spacing w:line="264" w:lineRule="auto"/>
              <w:jc w:val="center"/>
              <w:rPr>
                <w:b/>
                <w:bCs/>
                <w:color w:val="000000"/>
                <w:sz w:val="22"/>
                <w:szCs w:val="22"/>
              </w:rPr>
            </w:pPr>
            <w:r w:rsidRPr="000B133E">
              <w:rPr>
                <w:b/>
                <w:bCs/>
                <w:color w:val="000000"/>
                <w:sz w:val="22"/>
                <w:szCs w:val="22"/>
              </w:rPr>
              <w:t xml:space="preserve">Table </w:t>
            </w:r>
            <w:r w:rsidR="00C41224">
              <w:rPr>
                <w:b/>
                <w:bCs/>
                <w:color w:val="000000"/>
                <w:sz w:val="22"/>
                <w:szCs w:val="22"/>
              </w:rPr>
              <w:t xml:space="preserve">A1 </w:t>
            </w:r>
            <w:r w:rsidRPr="000B133E">
              <w:rPr>
                <w:b/>
                <w:bCs/>
                <w:color w:val="000000"/>
                <w:sz w:val="22"/>
                <w:szCs w:val="22"/>
              </w:rPr>
              <w:t xml:space="preserve"> </w:t>
            </w:r>
            <w:r w:rsidR="00C50628">
              <w:rPr>
                <w:b/>
                <w:bCs/>
                <w:color w:val="000000"/>
                <w:sz w:val="22"/>
                <w:szCs w:val="22"/>
              </w:rPr>
              <w:t>Long-run</w:t>
            </w:r>
            <w:r w:rsidRPr="000B133E">
              <w:rPr>
                <w:b/>
                <w:bCs/>
                <w:color w:val="000000"/>
                <w:sz w:val="22"/>
                <w:szCs w:val="22"/>
              </w:rPr>
              <w:t xml:space="preserve"> Growth Rates and Interest Rates (percent per annum)</w:t>
            </w:r>
          </w:p>
        </w:tc>
      </w:tr>
      <w:tr w:rsidR="00D9538B" w:rsidRPr="000B133E" w:rsidTr="006063D1">
        <w:trPr>
          <w:trHeight w:val="300"/>
        </w:trPr>
        <w:tc>
          <w:tcPr>
            <w:tcW w:w="3654" w:type="dxa"/>
            <w:tcBorders>
              <w:top w:val="single" w:sz="4" w:space="0" w:color="auto"/>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 </w:t>
            </w:r>
          </w:p>
        </w:tc>
        <w:tc>
          <w:tcPr>
            <w:tcW w:w="2220" w:type="dxa"/>
            <w:tcBorders>
              <w:top w:val="single" w:sz="4" w:space="0" w:color="auto"/>
              <w:left w:val="nil"/>
              <w:bottom w:val="nil"/>
              <w:right w:val="nil"/>
            </w:tcBorders>
            <w:noWrap/>
            <w:vAlign w:val="bottom"/>
          </w:tcPr>
          <w:p w:rsidR="00D9538B" w:rsidRPr="000B133E" w:rsidRDefault="00D9538B" w:rsidP="00DD269C">
            <w:pPr>
              <w:spacing w:line="264" w:lineRule="auto"/>
              <w:rPr>
                <w:b/>
                <w:bCs/>
                <w:color w:val="000000"/>
                <w:sz w:val="22"/>
                <w:szCs w:val="22"/>
              </w:rPr>
            </w:pPr>
            <w:r w:rsidRPr="000B133E">
              <w:rPr>
                <w:b/>
                <w:bCs/>
                <w:color w:val="000000"/>
                <w:sz w:val="22"/>
                <w:szCs w:val="22"/>
              </w:rPr>
              <w:t>Czech Republic</w:t>
            </w:r>
          </w:p>
        </w:tc>
        <w:tc>
          <w:tcPr>
            <w:tcW w:w="2421" w:type="dxa"/>
            <w:tcBorders>
              <w:top w:val="single" w:sz="4" w:space="0" w:color="auto"/>
              <w:left w:val="nil"/>
              <w:bottom w:val="nil"/>
              <w:right w:val="nil"/>
            </w:tcBorders>
            <w:noWrap/>
            <w:vAlign w:val="bottom"/>
          </w:tcPr>
          <w:p w:rsidR="00D9538B" w:rsidRPr="000B133E" w:rsidRDefault="00D9538B" w:rsidP="00DD269C">
            <w:pPr>
              <w:spacing w:line="264" w:lineRule="auto"/>
              <w:rPr>
                <w:b/>
                <w:bCs/>
                <w:color w:val="000000"/>
                <w:sz w:val="22"/>
                <w:szCs w:val="22"/>
              </w:rPr>
            </w:pPr>
            <w:r w:rsidRPr="000B133E">
              <w:rPr>
                <w:b/>
                <w:bCs/>
                <w:color w:val="000000"/>
                <w:sz w:val="22"/>
                <w:szCs w:val="22"/>
              </w:rPr>
              <w:t>European Union</w:t>
            </w:r>
          </w:p>
        </w:tc>
      </w:tr>
      <w:tr w:rsidR="00D9538B" w:rsidRPr="000B133E" w:rsidTr="006063D1">
        <w:trPr>
          <w:trHeight w:val="300"/>
        </w:trPr>
        <w:tc>
          <w:tcPr>
            <w:tcW w:w="3654"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 xml:space="preserve">Technology growth </w:t>
            </w:r>
          </w:p>
        </w:tc>
        <w:tc>
          <w:tcPr>
            <w:tcW w:w="2220"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1.5</w:t>
            </w:r>
          </w:p>
        </w:tc>
        <w:tc>
          <w:tcPr>
            <w:tcW w:w="2421"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1.5</w:t>
            </w:r>
          </w:p>
        </w:tc>
      </w:tr>
      <w:tr w:rsidR="00D9538B" w:rsidRPr="000B133E" w:rsidTr="006063D1">
        <w:trPr>
          <w:trHeight w:val="300"/>
        </w:trPr>
        <w:tc>
          <w:tcPr>
            <w:tcW w:w="3654"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Population growth</w:t>
            </w:r>
          </w:p>
        </w:tc>
        <w:tc>
          <w:tcPr>
            <w:tcW w:w="2220"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w:t>
            </w:r>
          </w:p>
        </w:tc>
        <w:tc>
          <w:tcPr>
            <w:tcW w:w="2421"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w:t>
            </w:r>
          </w:p>
        </w:tc>
      </w:tr>
      <w:tr w:rsidR="00D9538B" w:rsidRPr="000B133E" w:rsidTr="006063D1">
        <w:trPr>
          <w:trHeight w:val="300"/>
        </w:trPr>
        <w:tc>
          <w:tcPr>
            <w:tcW w:w="3654" w:type="dxa"/>
            <w:tcBorders>
              <w:top w:val="nil"/>
              <w:left w:val="nil"/>
              <w:bottom w:val="nil"/>
              <w:right w:val="nil"/>
            </w:tcBorders>
            <w:noWrap/>
            <w:vAlign w:val="bottom"/>
          </w:tcPr>
          <w:p w:rsidR="00D9538B" w:rsidRPr="000B133E" w:rsidRDefault="00C50628" w:rsidP="00DD269C">
            <w:pPr>
              <w:spacing w:line="264" w:lineRule="auto"/>
              <w:rPr>
                <w:color w:val="000000"/>
                <w:sz w:val="22"/>
                <w:szCs w:val="22"/>
              </w:rPr>
            </w:pPr>
            <w:r>
              <w:rPr>
                <w:color w:val="000000"/>
                <w:sz w:val="22"/>
                <w:szCs w:val="22"/>
              </w:rPr>
              <w:t>Long-run</w:t>
            </w:r>
            <w:r w:rsidR="00D9538B" w:rsidRPr="000B133E">
              <w:rPr>
                <w:color w:val="000000"/>
                <w:sz w:val="22"/>
                <w:szCs w:val="22"/>
              </w:rPr>
              <w:t xml:space="preserve"> Real Interest Rate</w:t>
            </w:r>
          </w:p>
        </w:tc>
        <w:tc>
          <w:tcPr>
            <w:tcW w:w="2220"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3</w:t>
            </w:r>
          </w:p>
        </w:tc>
        <w:tc>
          <w:tcPr>
            <w:tcW w:w="2421"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3</w:t>
            </w:r>
          </w:p>
        </w:tc>
      </w:tr>
      <w:tr w:rsidR="00D9538B" w:rsidRPr="000B133E" w:rsidTr="006063D1">
        <w:trPr>
          <w:trHeight w:val="300"/>
        </w:trPr>
        <w:tc>
          <w:tcPr>
            <w:tcW w:w="3654" w:type="dxa"/>
            <w:tcBorders>
              <w:top w:val="nil"/>
              <w:left w:val="nil"/>
              <w:bottom w:val="nil"/>
              <w:right w:val="nil"/>
            </w:tcBorders>
            <w:noWrap/>
            <w:vAlign w:val="bottom"/>
          </w:tcPr>
          <w:p w:rsidR="00D9538B" w:rsidRPr="000B133E" w:rsidRDefault="00357AA4" w:rsidP="00DD269C">
            <w:pPr>
              <w:spacing w:line="264" w:lineRule="auto"/>
              <w:rPr>
                <w:color w:val="000000"/>
                <w:sz w:val="22"/>
                <w:szCs w:val="22"/>
              </w:rPr>
            </w:pPr>
            <w:r>
              <w:rPr>
                <w:color w:val="000000"/>
                <w:sz w:val="22"/>
                <w:szCs w:val="22"/>
              </w:rPr>
              <w:t>Steady-state</w:t>
            </w:r>
            <w:r w:rsidR="00D9538B" w:rsidRPr="000B133E">
              <w:rPr>
                <w:color w:val="000000"/>
                <w:sz w:val="22"/>
                <w:szCs w:val="22"/>
              </w:rPr>
              <w:t xml:space="preserve"> inflation rate</w:t>
            </w:r>
          </w:p>
        </w:tc>
        <w:tc>
          <w:tcPr>
            <w:tcW w:w="2220"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2</w:t>
            </w:r>
          </w:p>
        </w:tc>
        <w:tc>
          <w:tcPr>
            <w:tcW w:w="2421"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2</w:t>
            </w:r>
          </w:p>
        </w:tc>
      </w:tr>
      <w:tr w:rsidR="00D9538B" w:rsidRPr="000B133E" w:rsidTr="006063D1">
        <w:trPr>
          <w:trHeight w:val="300"/>
        </w:trPr>
        <w:tc>
          <w:tcPr>
            <w:tcW w:w="3654" w:type="dxa"/>
            <w:tcBorders>
              <w:top w:val="nil"/>
              <w:left w:val="nil"/>
              <w:bottom w:val="nil"/>
              <w:right w:val="nil"/>
            </w:tcBorders>
            <w:noWrap/>
            <w:vAlign w:val="bottom"/>
          </w:tcPr>
          <w:p w:rsidR="00D9538B" w:rsidRPr="000B133E" w:rsidRDefault="00D9538B" w:rsidP="00DD269C">
            <w:pPr>
              <w:spacing w:line="264" w:lineRule="auto"/>
              <w:rPr>
                <w:b/>
                <w:bCs/>
                <w:color w:val="000000"/>
                <w:sz w:val="22"/>
                <w:szCs w:val="22"/>
              </w:rPr>
            </w:pPr>
            <w:r w:rsidRPr="000B133E">
              <w:rPr>
                <w:b/>
                <w:bCs/>
                <w:color w:val="000000"/>
                <w:sz w:val="22"/>
                <w:szCs w:val="22"/>
              </w:rPr>
              <w:t xml:space="preserve">Depreciation Rates </w:t>
            </w:r>
          </w:p>
        </w:tc>
        <w:tc>
          <w:tcPr>
            <w:tcW w:w="2220"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p>
        </w:tc>
        <w:tc>
          <w:tcPr>
            <w:tcW w:w="2421"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p>
        </w:tc>
      </w:tr>
      <w:tr w:rsidR="00D9538B" w:rsidRPr="000B133E" w:rsidTr="006063D1">
        <w:trPr>
          <w:trHeight w:val="300"/>
        </w:trPr>
        <w:tc>
          <w:tcPr>
            <w:tcW w:w="3654"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 xml:space="preserve">Private Capital Stock </w:t>
            </w:r>
          </w:p>
        </w:tc>
        <w:tc>
          <w:tcPr>
            <w:tcW w:w="2220"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10</w:t>
            </w:r>
          </w:p>
        </w:tc>
        <w:tc>
          <w:tcPr>
            <w:tcW w:w="2421"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10</w:t>
            </w:r>
          </w:p>
        </w:tc>
      </w:tr>
      <w:tr w:rsidR="00D9538B" w:rsidRPr="000B133E" w:rsidTr="006063D1">
        <w:trPr>
          <w:trHeight w:val="315"/>
        </w:trPr>
        <w:tc>
          <w:tcPr>
            <w:tcW w:w="3654" w:type="dxa"/>
            <w:tcBorders>
              <w:top w:val="nil"/>
              <w:left w:val="nil"/>
              <w:bottom w:val="double" w:sz="6" w:space="0" w:color="auto"/>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 xml:space="preserve">Public Capital Stock </w:t>
            </w:r>
          </w:p>
        </w:tc>
        <w:tc>
          <w:tcPr>
            <w:tcW w:w="2220" w:type="dxa"/>
            <w:tcBorders>
              <w:top w:val="nil"/>
              <w:left w:val="nil"/>
              <w:bottom w:val="double" w:sz="6" w:space="0" w:color="auto"/>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4</w:t>
            </w:r>
          </w:p>
        </w:tc>
        <w:tc>
          <w:tcPr>
            <w:tcW w:w="2421" w:type="dxa"/>
            <w:tcBorders>
              <w:top w:val="nil"/>
              <w:left w:val="nil"/>
              <w:bottom w:val="double" w:sz="6" w:space="0" w:color="auto"/>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4</w:t>
            </w:r>
          </w:p>
        </w:tc>
      </w:tr>
    </w:tbl>
    <w:p w:rsidR="00D9538B" w:rsidRDefault="00D9538B" w:rsidP="00DD269C">
      <w:pPr>
        <w:autoSpaceDE w:val="0"/>
        <w:autoSpaceDN w:val="0"/>
        <w:adjustRightInd w:val="0"/>
        <w:spacing w:line="264" w:lineRule="auto"/>
        <w:ind w:left="720" w:hanging="720"/>
        <w:jc w:val="center"/>
        <w:rPr>
          <w:b/>
        </w:rPr>
      </w:pPr>
    </w:p>
    <w:tbl>
      <w:tblPr>
        <w:tblW w:w="8220" w:type="dxa"/>
        <w:tblInd w:w="93" w:type="dxa"/>
        <w:tblLook w:val="04A0"/>
      </w:tblPr>
      <w:tblGrid>
        <w:gridCol w:w="4844"/>
        <w:gridCol w:w="1641"/>
        <w:gridCol w:w="1735"/>
      </w:tblGrid>
      <w:tr w:rsidR="00D9538B" w:rsidRPr="000B133E" w:rsidTr="0095689D">
        <w:trPr>
          <w:trHeight w:val="315"/>
        </w:trPr>
        <w:tc>
          <w:tcPr>
            <w:tcW w:w="8220" w:type="dxa"/>
            <w:gridSpan w:val="3"/>
            <w:tcBorders>
              <w:top w:val="double" w:sz="6" w:space="0" w:color="auto"/>
              <w:left w:val="nil"/>
              <w:bottom w:val="nil"/>
              <w:right w:val="nil"/>
            </w:tcBorders>
            <w:noWrap/>
            <w:vAlign w:val="bottom"/>
          </w:tcPr>
          <w:p w:rsidR="00D9538B" w:rsidRPr="000B133E" w:rsidRDefault="00D9538B" w:rsidP="00DD269C">
            <w:pPr>
              <w:spacing w:line="264" w:lineRule="auto"/>
              <w:jc w:val="center"/>
              <w:rPr>
                <w:b/>
                <w:bCs/>
                <w:color w:val="000000"/>
                <w:sz w:val="22"/>
                <w:szCs w:val="22"/>
              </w:rPr>
            </w:pPr>
            <w:r w:rsidRPr="000B133E">
              <w:rPr>
                <w:b/>
                <w:bCs/>
                <w:color w:val="000000"/>
                <w:sz w:val="22"/>
                <w:szCs w:val="22"/>
              </w:rPr>
              <w:t xml:space="preserve">Table </w:t>
            </w:r>
            <w:r w:rsidR="00C41224">
              <w:rPr>
                <w:b/>
                <w:bCs/>
                <w:color w:val="000000"/>
                <w:sz w:val="22"/>
                <w:szCs w:val="22"/>
              </w:rPr>
              <w:t xml:space="preserve">A2 </w:t>
            </w:r>
            <w:r w:rsidRPr="000B133E">
              <w:rPr>
                <w:b/>
                <w:bCs/>
                <w:color w:val="000000"/>
                <w:sz w:val="22"/>
                <w:szCs w:val="22"/>
              </w:rPr>
              <w:t xml:space="preserve"> Elasticities of Substitution</w:t>
            </w:r>
          </w:p>
        </w:tc>
      </w:tr>
      <w:tr w:rsidR="00D9538B" w:rsidRPr="000B133E" w:rsidTr="0095689D">
        <w:trPr>
          <w:trHeight w:val="300"/>
        </w:trPr>
        <w:tc>
          <w:tcPr>
            <w:tcW w:w="4844" w:type="dxa"/>
            <w:tcBorders>
              <w:top w:val="single" w:sz="4" w:space="0" w:color="auto"/>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 </w:t>
            </w:r>
          </w:p>
        </w:tc>
        <w:tc>
          <w:tcPr>
            <w:tcW w:w="1641" w:type="dxa"/>
            <w:tcBorders>
              <w:top w:val="single" w:sz="4" w:space="0" w:color="auto"/>
              <w:left w:val="nil"/>
              <w:bottom w:val="nil"/>
              <w:right w:val="nil"/>
            </w:tcBorders>
            <w:noWrap/>
            <w:vAlign w:val="bottom"/>
          </w:tcPr>
          <w:p w:rsidR="00D9538B" w:rsidRPr="000B133E" w:rsidRDefault="00D9538B" w:rsidP="00DD269C">
            <w:pPr>
              <w:spacing w:line="264" w:lineRule="auto"/>
              <w:rPr>
                <w:b/>
                <w:bCs/>
                <w:color w:val="000000"/>
                <w:sz w:val="22"/>
                <w:szCs w:val="22"/>
              </w:rPr>
            </w:pPr>
            <w:r w:rsidRPr="000B133E">
              <w:rPr>
                <w:b/>
                <w:bCs/>
                <w:color w:val="000000"/>
                <w:sz w:val="22"/>
                <w:szCs w:val="22"/>
              </w:rPr>
              <w:t>Czech Republic</w:t>
            </w:r>
          </w:p>
        </w:tc>
        <w:tc>
          <w:tcPr>
            <w:tcW w:w="1735" w:type="dxa"/>
            <w:tcBorders>
              <w:top w:val="single" w:sz="4" w:space="0" w:color="auto"/>
              <w:left w:val="nil"/>
              <w:bottom w:val="nil"/>
              <w:right w:val="nil"/>
            </w:tcBorders>
            <w:noWrap/>
            <w:vAlign w:val="bottom"/>
          </w:tcPr>
          <w:p w:rsidR="00D9538B" w:rsidRPr="000B133E" w:rsidRDefault="00D9538B" w:rsidP="00DD269C">
            <w:pPr>
              <w:spacing w:line="264" w:lineRule="auto"/>
              <w:rPr>
                <w:b/>
                <w:bCs/>
                <w:color w:val="000000"/>
                <w:sz w:val="22"/>
                <w:szCs w:val="22"/>
              </w:rPr>
            </w:pPr>
            <w:r w:rsidRPr="000B133E">
              <w:rPr>
                <w:b/>
                <w:bCs/>
                <w:color w:val="000000"/>
                <w:sz w:val="22"/>
                <w:szCs w:val="22"/>
              </w:rPr>
              <w:t>European Union</w:t>
            </w:r>
          </w:p>
        </w:tc>
      </w:tr>
      <w:tr w:rsidR="00D9538B" w:rsidRPr="000B133E" w:rsidTr="0095689D">
        <w:trPr>
          <w:trHeight w:val="300"/>
        </w:trPr>
        <w:tc>
          <w:tcPr>
            <w:tcW w:w="4844"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Nontradables: Capital-Labor</w:t>
            </w:r>
          </w:p>
        </w:tc>
        <w:tc>
          <w:tcPr>
            <w:tcW w:w="1641"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w:t>
            </w:r>
          </w:p>
        </w:tc>
        <w:tc>
          <w:tcPr>
            <w:tcW w:w="1735"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w:t>
            </w:r>
          </w:p>
        </w:tc>
      </w:tr>
      <w:tr w:rsidR="00D9538B" w:rsidRPr="000B133E" w:rsidTr="0095689D">
        <w:trPr>
          <w:trHeight w:val="300"/>
        </w:trPr>
        <w:tc>
          <w:tcPr>
            <w:tcW w:w="4844"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Tradables: Capital-Labor</w:t>
            </w:r>
          </w:p>
        </w:tc>
        <w:tc>
          <w:tcPr>
            <w:tcW w:w="1641"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w:t>
            </w:r>
          </w:p>
        </w:tc>
        <w:tc>
          <w:tcPr>
            <w:tcW w:w="1735"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w:t>
            </w:r>
          </w:p>
        </w:tc>
      </w:tr>
      <w:tr w:rsidR="00D9538B" w:rsidRPr="000B133E" w:rsidTr="0095689D">
        <w:trPr>
          <w:trHeight w:val="300"/>
        </w:trPr>
        <w:tc>
          <w:tcPr>
            <w:tcW w:w="4844"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Final Good Import Agents: Different Countries</w:t>
            </w:r>
          </w:p>
        </w:tc>
        <w:tc>
          <w:tcPr>
            <w:tcW w:w="1641"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1.5</w:t>
            </w:r>
          </w:p>
        </w:tc>
        <w:tc>
          <w:tcPr>
            <w:tcW w:w="1735"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1.5</w:t>
            </w:r>
          </w:p>
        </w:tc>
      </w:tr>
      <w:tr w:rsidR="00D9538B" w:rsidRPr="000B133E" w:rsidTr="0095689D">
        <w:trPr>
          <w:trHeight w:val="300"/>
        </w:trPr>
        <w:tc>
          <w:tcPr>
            <w:tcW w:w="4844"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Tradables Import Agents: Different Countries</w:t>
            </w:r>
          </w:p>
        </w:tc>
        <w:tc>
          <w:tcPr>
            <w:tcW w:w="1641"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1.5</w:t>
            </w:r>
          </w:p>
        </w:tc>
        <w:tc>
          <w:tcPr>
            <w:tcW w:w="1735"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1.5</w:t>
            </w:r>
          </w:p>
        </w:tc>
      </w:tr>
      <w:tr w:rsidR="00D9538B" w:rsidRPr="000B133E" w:rsidTr="0095689D">
        <w:trPr>
          <w:trHeight w:val="300"/>
        </w:trPr>
        <w:tc>
          <w:tcPr>
            <w:tcW w:w="4844"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Distributors: Home-Foreign Tradables</w:t>
            </w:r>
          </w:p>
        </w:tc>
        <w:tc>
          <w:tcPr>
            <w:tcW w:w="1641"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1.5</w:t>
            </w:r>
          </w:p>
        </w:tc>
        <w:tc>
          <w:tcPr>
            <w:tcW w:w="1735"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1.5</w:t>
            </w:r>
          </w:p>
        </w:tc>
      </w:tr>
      <w:tr w:rsidR="00D9538B" w:rsidRPr="000B133E" w:rsidTr="0095689D">
        <w:trPr>
          <w:trHeight w:val="300"/>
        </w:trPr>
        <w:tc>
          <w:tcPr>
            <w:tcW w:w="4844"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Inv. Goods Producers: Home-Foreign Tradables</w:t>
            </w:r>
          </w:p>
        </w:tc>
        <w:tc>
          <w:tcPr>
            <w:tcW w:w="1641"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1.5</w:t>
            </w:r>
          </w:p>
        </w:tc>
        <w:tc>
          <w:tcPr>
            <w:tcW w:w="1735"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1.5</w:t>
            </w:r>
          </w:p>
        </w:tc>
      </w:tr>
      <w:tr w:rsidR="00D9538B" w:rsidRPr="000B133E" w:rsidTr="0095689D">
        <w:trPr>
          <w:trHeight w:val="300"/>
        </w:trPr>
        <w:tc>
          <w:tcPr>
            <w:tcW w:w="4844"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Cons. Goods Producers: Home-Foreign Tradables</w:t>
            </w:r>
          </w:p>
        </w:tc>
        <w:tc>
          <w:tcPr>
            <w:tcW w:w="1641"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1.5</w:t>
            </w:r>
          </w:p>
        </w:tc>
        <w:tc>
          <w:tcPr>
            <w:tcW w:w="1735"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1.5</w:t>
            </w:r>
          </w:p>
        </w:tc>
      </w:tr>
      <w:tr w:rsidR="00D9538B" w:rsidRPr="000B133E" w:rsidTr="0095689D">
        <w:trPr>
          <w:trHeight w:val="300"/>
        </w:trPr>
        <w:tc>
          <w:tcPr>
            <w:tcW w:w="4844"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Distributors: Tradables-Nontradables</w:t>
            </w:r>
          </w:p>
        </w:tc>
        <w:tc>
          <w:tcPr>
            <w:tcW w:w="1641"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0.5</w:t>
            </w:r>
          </w:p>
        </w:tc>
        <w:tc>
          <w:tcPr>
            <w:tcW w:w="1735"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0.5</w:t>
            </w:r>
          </w:p>
        </w:tc>
      </w:tr>
      <w:tr w:rsidR="00D9538B" w:rsidRPr="000B133E" w:rsidTr="0095689D">
        <w:trPr>
          <w:trHeight w:val="315"/>
        </w:trPr>
        <w:tc>
          <w:tcPr>
            <w:tcW w:w="4844" w:type="dxa"/>
            <w:tcBorders>
              <w:top w:val="nil"/>
              <w:left w:val="nil"/>
              <w:bottom w:val="double" w:sz="6" w:space="0" w:color="auto"/>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Government: Consumption-Investment Goods</w:t>
            </w:r>
          </w:p>
        </w:tc>
        <w:tc>
          <w:tcPr>
            <w:tcW w:w="1641" w:type="dxa"/>
            <w:tcBorders>
              <w:top w:val="nil"/>
              <w:left w:val="nil"/>
              <w:bottom w:val="double" w:sz="6" w:space="0" w:color="auto"/>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0.5</w:t>
            </w:r>
          </w:p>
        </w:tc>
        <w:tc>
          <w:tcPr>
            <w:tcW w:w="1735" w:type="dxa"/>
            <w:tcBorders>
              <w:top w:val="nil"/>
              <w:left w:val="nil"/>
              <w:bottom w:val="double" w:sz="6" w:space="0" w:color="auto"/>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0.5</w:t>
            </w:r>
          </w:p>
        </w:tc>
      </w:tr>
    </w:tbl>
    <w:p w:rsidR="00D9538B" w:rsidRDefault="00D9538B" w:rsidP="00DD269C">
      <w:pPr>
        <w:autoSpaceDE w:val="0"/>
        <w:autoSpaceDN w:val="0"/>
        <w:adjustRightInd w:val="0"/>
        <w:spacing w:line="264" w:lineRule="auto"/>
        <w:ind w:left="720" w:hanging="720"/>
        <w:jc w:val="center"/>
        <w:rPr>
          <w:b/>
        </w:rPr>
      </w:pPr>
    </w:p>
    <w:tbl>
      <w:tblPr>
        <w:tblW w:w="8220" w:type="dxa"/>
        <w:tblInd w:w="93" w:type="dxa"/>
        <w:tblLook w:val="04A0"/>
      </w:tblPr>
      <w:tblGrid>
        <w:gridCol w:w="4562"/>
        <w:gridCol w:w="1778"/>
        <w:gridCol w:w="1880"/>
      </w:tblGrid>
      <w:tr w:rsidR="00D9538B" w:rsidRPr="000B133E" w:rsidTr="0095689D">
        <w:trPr>
          <w:trHeight w:val="315"/>
        </w:trPr>
        <w:tc>
          <w:tcPr>
            <w:tcW w:w="8220" w:type="dxa"/>
            <w:gridSpan w:val="3"/>
            <w:tcBorders>
              <w:top w:val="double" w:sz="6" w:space="0" w:color="auto"/>
              <w:left w:val="nil"/>
              <w:bottom w:val="nil"/>
              <w:right w:val="nil"/>
            </w:tcBorders>
            <w:noWrap/>
            <w:vAlign w:val="bottom"/>
          </w:tcPr>
          <w:p w:rsidR="00D9538B" w:rsidRPr="000B133E" w:rsidRDefault="00D9538B" w:rsidP="00C41224">
            <w:pPr>
              <w:spacing w:line="264" w:lineRule="auto"/>
              <w:jc w:val="center"/>
              <w:rPr>
                <w:b/>
                <w:bCs/>
                <w:color w:val="000000"/>
                <w:sz w:val="22"/>
                <w:szCs w:val="22"/>
              </w:rPr>
            </w:pPr>
            <w:r w:rsidRPr="000B133E">
              <w:rPr>
                <w:b/>
                <w:bCs/>
                <w:color w:val="000000"/>
                <w:sz w:val="22"/>
                <w:szCs w:val="22"/>
              </w:rPr>
              <w:t xml:space="preserve">Table </w:t>
            </w:r>
            <w:r w:rsidR="00C41224">
              <w:rPr>
                <w:b/>
                <w:bCs/>
                <w:color w:val="000000"/>
                <w:sz w:val="22"/>
                <w:szCs w:val="22"/>
              </w:rPr>
              <w:t>A</w:t>
            </w:r>
            <w:r w:rsidRPr="000B133E">
              <w:rPr>
                <w:b/>
                <w:bCs/>
                <w:color w:val="000000"/>
                <w:sz w:val="22"/>
                <w:szCs w:val="22"/>
              </w:rPr>
              <w:t>3</w:t>
            </w:r>
            <w:r w:rsidR="00C41224">
              <w:rPr>
                <w:b/>
                <w:bCs/>
                <w:color w:val="000000"/>
                <w:sz w:val="22"/>
                <w:szCs w:val="22"/>
              </w:rPr>
              <w:t xml:space="preserve"> </w:t>
            </w:r>
            <w:r w:rsidRPr="000B133E">
              <w:rPr>
                <w:b/>
                <w:bCs/>
                <w:color w:val="000000"/>
                <w:sz w:val="22"/>
                <w:szCs w:val="22"/>
              </w:rPr>
              <w:t xml:space="preserve"> Utility Functions</w:t>
            </w:r>
          </w:p>
        </w:tc>
      </w:tr>
      <w:tr w:rsidR="00D9538B" w:rsidRPr="000B133E" w:rsidTr="0095689D">
        <w:trPr>
          <w:trHeight w:val="300"/>
        </w:trPr>
        <w:tc>
          <w:tcPr>
            <w:tcW w:w="4562" w:type="dxa"/>
            <w:tcBorders>
              <w:top w:val="single" w:sz="4" w:space="0" w:color="auto"/>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 </w:t>
            </w:r>
          </w:p>
        </w:tc>
        <w:tc>
          <w:tcPr>
            <w:tcW w:w="1778" w:type="dxa"/>
            <w:tcBorders>
              <w:top w:val="single" w:sz="4" w:space="0" w:color="auto"/>
              <w:left w:val="nil"/>
              <w:bottom w:val="nil"/>
              <w:right w:val="nil"/>
            </w:tcBorders>
            <w:noWrap/>
            <w:vAlign w:val="bottom"/>
          </w:tcPr>
          <w:p w:rsidR="00D9538B" w:rsidRPr="000B133E" w:rsidRDefault="00D9538B" w:rsidP="00DD269C">
            <w:pPr>
              <w:spacing w:line="264" w:lineRule="auto"/>
              <w:rPr>
                <w:b/>
                <w:bCs/>
                <w:color w:val="000000"/>
                <w:sz w:val="22"/>
                <w:szCs w:val="22"/>
              </w:rPr>
            </w:pPr>
            <w:r w:rsidRPr="000B133E">
              <w:rPr>
                <w:b/>
                <w:bCs/>
                <w:color w:val="000000"/>
                <w:sz w:val="22"/>
                <w:szCs w:val="22"/>
              </w:rPr>
              <w:t>Czech Republic</w:t>
            </w:r>
          </w:p>
        </w:tc>
        <w:tc>
          <w:tcPr>
            <w:tcW w:w="1880" w:type="dxa"/>
            <w:tcBorders>
              <w:top w:val="single" w:sz="4" w:space="0" w:color="auto"/>
              <w:left w:val="nil"/>
              <w:bottom w:val="nil"/>
              <w:right w:val="nil"/>
            </w:tcBorders>
            <w:noWrap/>
            <w:vAlign w:val="bottom"/>
          </w:tcPr>
          <w:p w:rsidR="00D9538B" w:rsidRPr="000B133E" w:rsidRDefault="00D9538B" w:rsidP="00DD269C">
            <w:pPr>
              <w:spacing w:line="264" w:lineRule="auto"/>
              <w:rPr>
                <w:b/>
                <w:bCs/>
                <w:color w:val="000000"/>
                <w:sz w:val="22"/>
                <w:szCs w:val="22"/>
              </w:rPr>
            </w:pPr>
            <w:r w:rsidRPr="000B133E">
              <w:rPr>
                <w:b/>
                <w:bCs/>
                <w:color w:val="000000"/>
                <w:sz w:val="22"/>
                <w:szCs w:val="22"/>
              </w:rPr>
              <w:t>European Union</w:t>
            </w:r>
          </w:p>
        </w:tc>
      </w:tr>
      <w:tr w:rsidR="00D9538B" w:rsidRPr="000B133E" w:rsidTr="0095689D">
        <w:trPr>
          <w:trHeight w:val="300"/>
        </w:trPr>
        <w:tc>
          <w:tcPr>
            <w:tcW w:w="4562"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Average Planning Horizon in Years</w:t>
            </w:r>
          </w:p>
        </w:tc>
        <w:tc>
          <w:tcPr>
            <w:tcW w:w="1778"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10</w:t>
            </w:r>
          </w:p>
        </w:tc>
        <w:tc>
          <w:tcPr>
            <w:tcW w:w="1880"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10</w:t>
            </w:r>
          </w:p>
        </w:tc>
      </w:tr>
      <w:tr w:rsidR="00D9538B" w:rsidRPr="000B133E" w:rsidTr="0095689D">
        <w:trPr>
          <w:trHeight w:val="300"/>
        </w:trPr>
        <w:tc>
          <w:tcPr>
            <w:tcW w:w="4562"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Average Remaining Working Life</w:t>
            </w:r>
          </w:p>
        </w:tc>
        <w:tc>
          <w:tcPr>
            <w:tcW w:w="1778"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20</w:t>
            </w:r>
          </w:p>
        </w:tc>
        <w:tc>
          <w:tcPr>
            <w:tcW w:w="1880"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20</w:t>
            </w:r>
          </w:p>
        </w:tc>
      </w:tr>
      <w:tr w:rsidR="00D9538B" w:rsidRPr="000B133E" w:rsidTr="0095689D">
        <w:trPr>
          <w:trHeight w:val="300"/>
        </w:trPr>
        <w:tc>
          <w:tcPr>
            <w:tcW w:w="4562"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Intertemporal Elasticity of Substitution</w:t>
            </w:r>
          </w:p>
        </w:tc>
        <w:tc>
          <w:tcPr>
            <w:tcW w:w="1778"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0.25</w:t>
            </w:r>
          </w:p>
        </w:tc>
        <w:tc>
          <w:tcPr>
            <w:tcW w:w="1880"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0.25</w:t>
            </w:r>
          </w:p>
        </w:tc>
      </w:tr>
      <w:tr w:rsidR="00D9538B" w:rsidRPr="000B133E" w:rsidTr="0095689D">
        <w:trPr>
          <w:trHeight w:val="300"/>
        </w:trPr>
        <w:tc>
          <w:tcPr>
            <w:tcW w:w="4562"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Labor Supply Elasticity</w:t>
            </w:r>
          </w:p>
        </w:tc>
        <w:tc>
          <w:tcPr>
            <w:tcW w:w="1778"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0.5</w:t>
            </w:r>
          </w:p>
        </w:tc>
        <w:tc>
          <w:tcPr>
            <w:tcW w:w="1880"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0.5</w:t>
            </w:r>
          </w:p>
        </w:tc>
      </w:tr>
      <w:tr w:rsidR="00D9538B" w:rsidRPr="000B133E" w:rsidTr="0095689D">
        <w:trPr>
          <w:trHeight w:val="300"/>
        </w:trPr>
        <w:tc>
          <w:tcPr>
            <w:tcW w:w="4562"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 xml:space="preserve">Share of </w:t>
            </w:r>
            <w:r w:rsidR="00357AA4">
              <w:rPr>
                <w:color w:val="000000"/>
                <w:sz w:val="22"/>
                <w:szCs w:val="22"/>
              </w:rPr>
              <w:t>Liquidity-constrained</w:t>
            </w:r>
            <w:r w:rsidRPr="000B133E">
              <w:rPr>
                <w:color w:val="000000"/>
                <w:sz w:val="22"/>
                <w:szCs w:val="22"/>
              </w:rPr>
              <w:t xml:space="preserve"> Agents</w:t>
            </w:r>
          </w:p>
        </w:tc>
        <w:tc>
          <w:tcPr>
            <w:tcW w:w="1778"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0.5</w:t>
            </w:r>
          </w:p>
        </w:tc>
        <w:tc>
          <w:tcPr>
            <w:tcW w:w="1880"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0.35</w:t>
            </w:r>
          </w:p>
        </w:tc>
      </w:tr>
      <w:tr w:rsidR="00D9538B" w:rsidRPr="000B133E" w:rsidTr="0095689D">
        <w:trPr>
          <w:trHeight w:val="315"/>
        </w:trPr>
        <w:tc>
          <w:tcPr>
            <w:tcW w:w="4562" w:type="dxa"/>
            <w:tcBorders>
              <w:top w:val="nil"/>
              <w:left w:val="nil"/>
              <w:bottom w:val="double" w:sz="6" w:space="0" w:color="auto"/>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Dividend Share of Liq. Constrained Agents</w:t>
            </w:r>
          </w:p>
        </w:tc>
        <w:tc>
          <w:tcPr>
            <w:tcW w:w="1778" w:type="dxa"/>
            <w:tcBorders>
              <w:top w:val="nil"/>
              <w:left w:val="nil"/>
              <w:bottom w:val="double" w:sz="6" w:space="0" w:color="auto"/>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0.125</w:t>
            </w:r>
          </w:p>
        </w:tc>
        <w:tc>
          <w:tcPr>
            <w:tcW w:w="1880" w:type="dxa"/>
            <w:tcBorders>
              <w:top w:val="nil"/>
              <w:left w:val="nil"/>
              <w:bottom w:val="double" w:sz="6" w:space="0" w:color="auto"/>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0.125</w:t>
            </w:r>
          </w:p>
        </w:tc>
      </w:tr>
    </w:tbl>
    <w:p w:rsidR="005608B1" w:rsidRDefault="005608B1" w:rsidP="00DD269C">
      <w:pPr>
        <w:autoSpaceDE w:val="0"/>
        <w:autoSpaceDN w:val="0"/>
        <w:adjustRightInd w:val="0"/>
        <w:spacing w:line="264" w:lineRule="auto"/>
        <w:ind w:left="720" w:hanging="720"/>
        <w:jc w:val="center"/>
        <w:rPr>
          <w:b/>
        </w:rPr>
      </w:pPr>
    </w:p>
    <w:p w:rsidR="005608B1" w:rsidRDefault="005608B1">
      <w:pPr>
        <w:rPr>
          <w:b/>
        </w:rPr>
      </w:pPr>
      <w:r>
        <w:rPr>
          <w:b/>
        </w:rPr>
        <w:br w:type="page"/>
      </w:r>
    </w:p>
    <w:p w:rsidR="00D9538B" w:rsidRDefault="00D9538B" w:rsidP="00DD269C">
      <w:pPr>
        <w:autoSpaceDE w:val="0"/>
        <w:autoSpaceDN w:val="0"/>
        <w:adjustRightInd w:val="0"/>
        <w:spacing w:line="264" w:lineRule="auto"/>
        <w:ind w:left="720" w:hanging="720"/>
        <w:jc w:val="center"/>
        <w:rPr>
          <w:b/>
        </w:rPr>
      </w:pPr>
    </w:p>
    <w:tbl>
      <w:tblPr>
        <w:tblW w:w="8221" w:type="dxa"/>
        <w:tblInd w:w="93" w:type="dxa"/>
        <w:tblLook w:val="04A0"/>
      </w:tblPr>
      <w:tblGrid>
        <w:gridCol w:w="4178"/>
        <w:gridCol w:w="605"/>
        <w:gridCol w:w="1360"/>
        <w:gridCol w:w="311"/>
        <w:gridCol w:w="1767"/>
      </w:tblGrid>
      <w:tr w:rsidR="00D9538B" w:rsidRPr="000B133E" w:rsidTr="0095689D">
        <w:trPr>
          <w:trHeight w:val="315"/>
        </w:trPr>
        <w:tc>
          <w:tcPr>
            <w:tcW w:w="8221" w:type="dxa"/>
            <w:gridSpan w:val="5"/>
            <w:tcBorders>
              <w:top w:val="double" w:sz="6" w:space="0" w:color="auto"/>
              <w:left w:val="nil"/>
              <w:bottom w:val="nil"/>
              <w:right w:val="nil"/>
            </w:tcBorders>
            <w:noWrap/>
            <w:vAlign w:val="bottom"/>
          </w:tcPr>
          <w:p w:rsidR="00D9538B" w:rsidRPr="000B133E" w:rsidRDefault="00D9538B" w:rsidP="00DD269C">
            <w:pPr>
              <w:spacing w:line="264" w:lineRule="auto"/>
              <w:jc w:val="center"/>
              <w:rPr>
                <w:b/>
                <w:bCs/>
                <w:color w:val="000000"/>
                <w:sz w:val="22"/>
                <w:szCs w:val="22"/>
              </w:rPr>
            </w:pPr>
            <w:r w:rsidRPr="000B133E">
              <w:rPr>
                <w:b/>
                <w:bCs/>
                <w:color w:val="000000"/>
                <w:sz w:val="22"/>
                <w:szCs w:val="22"/>
              </w:rPr>
              <w:t xml:space="preserve">Table </w:t>
            </w:r>
            <w:r w:rsidR="00C41224">
              <w:rPr>
                <w:b/>
                <w:bCs/>
                <w:color w:val="000000"/>
                <w:sz w:val="22"/>
                <w:szCs w:val="22"/>
              </w:rPr>
              <w:t>A</w:t>
            </w:r>
            <w:r>
              <w:rPr>
                <w:b/>
                <w:bCs/>
                <w:color w:val="000000"/>
                <w:sz w:val="22"/>
                <w:szCs w:val="22"/>
              </w:rPr>
              <w:t>4</w:t>
            </w:r>
            <w:r w:rsidR="00C41224">
              <w:rPr>
                <w:b/>
                <w:bCs/>
                <w:color w:val="000000"/>
                <w:sz w:val="22"/>
                <w:szCs w:val="22"/>
              </w:rPr>
              <w:t xml:space="preserve"> </w:t>
            </w:r>
            <w:r w:rsidRPr="000B133E">
              <w:rPr>
                <w:b/>
                <w:bCs/>
                <w:color w:val="000000"/>
                <w:sz w:val="22"/>
                <w:szCs w:val="22"/>
              </w:rPr>
              <w:t xml:space="preserve"> </w:t>
            </w:r>
            <w:r w:rsidR="00357AA4">
              <w:rPr>
                <w:b/>
                <w:bCs/>
                <w:color w:val="000000"/>
                <w:sz w:val="22"/>
                <w:szCs w:val="22"/>
              </w:rPr>
              <w:t>Steady-state</w:t>
            </w:r>
            <w:r w:rsidRPr="000B133E">
              <w:rPr>
                <w:b/>
                <w:bCs/>
                <w:color w:val="000000"/>
                <w:sz w:val="22"/>
                <w:szCs w:val="22"/>
              </w:rPr>
              <w:t xml:space="preserve"> Factor Shares</w:t>
            </w:r>
          </w:p>
        </w:tc>
      </w:tr>
      <w:tr w:rsidR="00D9538B" w:rsidRPr="000B133E" w:rsidTr="0095689D">
        <w:trPr>
          <w:trHeight w:val="300"/>
        </w:trPr>
        <w:tc>
          <w:tcPr>
            <w:tcW w:w="4783" w:type="dxa"/>
            <w:gridSpan w:val="2"/>
            <w:tcBorders>
              <w:top w:val="single" w:sz="4" w:space="0" w:color="auto"/>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 </w:t>
            </w:r>
          </w:p>
        </w:tc>
        <w:tc>
          <w:tcPr>
            <w:tcW w:w="1671" w:type="dxa"/>
            <w:gridSpan w:val="2"/>
            <w:tcBorders>
              <w:top w:val="single" w:sz="4" w:space="0" w:color="auto"/>
              <w:left w:val="nil"/>
              <w:bottom w:val="nil"/>
              <w:right w:val="nil"/>
            </w:tcBorders>
            <w:noWrap/>
            <w:vAlign w:val="bottom"/>
          </w:tcPr>
          <w:p w:rsidR="00D9538B" w:rsidRPr="000B133E" w:rsidRDefault="00D9538B" w:rsidP="00DD269C">
            <w:pPr>
              <w:spacing w:line="264" w:lineRule="auto"/>
              <w:rPr>
                <w:b/>
                <w:bCs/>
                <w:color w:val="000000"/>
                <w:sz w:val="22"/>
                <w:szCs w:val="22"/>
              </w:rPr>
            </w:pPr>
            <w:r w:rsidRPr="000B133E">
              <w:rPr>
                <w:b/>
                <w:bCs/>
                <w:color w:val="000000"/>
                <w:sz w:val="22"/>
                <w:szCs w:val="22"/>
              </w:rPr>
              <w:t>Czech Republic</w:t>
            </w:r>
          </w:p>
        </w:tc>
        <w:tc>
          <w:tcPr>
            <w:tcW w:w="1767" w:type="dxa"/>
            <w:tcBorders>
              <w:top w:val="single" w:sz="4" w:space="0" w:color="auto"/>
              <w:left w:val="nil"/>
              <w:bottom w:val="nil"/>
              <w:right w:val="nil"/>
            </w:tcBorders>
            <w:noWrap/>
            <w:vAlign w:val="bottom"/>
          </w:tcPr>
          <w:p w:rsidR="00D9538B" w:rsidRPr="000B133E" w:rsidRDefault="00D9538B" w:rsidP="00DD269C">
            <w:pPr>
              <w:spacing w:line="264" w:lineRule="auto"/>
              <w:rPr>
                <w:b/>
                <w:bCs/>
                <w:color w:val="000000"/>
                <w:sz w:val="22"/>
                <w:szCs w:val="22"/>
              </w:rPr>
            </w:pPr>
            <w:r w:rsidRPr="000B133E">
              <w:rPr>
                <w:b/>
                <w:bCs/>
                <w:color w:val="000000"/>
                <w:sz w:val="22"/>
                <w:szCs w:val="22"/>
              </w:rPr>
              <w:t>European Union</w:t>
            </w:r>
          </w:p>
        </w:tc>
      </w:tr>
      <w:tr w:rsidR="00D9538B" w:rsidRPr="000B133E" w:rsidTr="0095689D">
        <w:trPr>
          <w:trHeight w:val="300"/>
        </w:trPr>
        <w:tc>
          <w:tcPr>
            <w:tcW w:w="4783" w:type="dxa"/>
            <w:gridSpan w:val="2"/>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Nontradables Labor Income / GDP</w:t>
            </w:r>
          </w:p>
        </w:tc>
        <w:tc>
          <w:tcPr>
            <w:tcW w:w="1671" w:type="dxa"/>
            <w:gridSpan w:val="2"/>
            <w:tcBorders>
              <w:top w:val="nil"/>
              <w:left w:val="nil"/>
              <w:bottom w:val="nil"/>
              <w:right w:val="nil"/>
            </w:tcBorders>
            <w:noWrap/>
            <w:vAlign w:val="bottom"/>
          </w:tcPr>
          <w:p w:rsidR="00D9538B" w:rsidRPr="000B133E" w:rsidRDefault="00FF7157" w:rsidP="00DD269C">
            <w:pPr>
              <w:spacing w:line="264" w:lineRule="auto"/>
              <w:jc w:val="center"/>
              <w:rPr>
                <w:color w:val="000000"/>
                <w:sz w:val="22"/>
                <w:szCs w:val="22"/>
              </w:rPr>
            </w:pPr>
            <w:r>
              <w:rPr>
                <w:color w:val="000000"/>
                <w:sz w:val="22"/>
                <w:szCs w:val="22"/>
              </w:rPr>
              <w:t>55.6</w:t>
            </w:r>
          </w:p>
        </w:tc>
        <w:tc>
          <w:tcPr>
            <w:tcW w:w="1767" w:type="dxa"/>
            <w:tcBorders>
              <w:top w:val="nil"/>
              <w:left w:val="nil"/>
              <w:bottom w:val="nil"/>
              <w:right w:val="nil"/>
            </w:tcBorders>
            <w:noWrap/>
            <w:vAlign w:val="bottom"/>
          </w:tcPr>
          <w:p w:rsidR="00D9538B" w:rsidRPr="000B133E" w:rsidRDefault="00FF7157" w:rsidP="00DD269C">
            <w:pPr>
              <w:spacing w:line="264" w:lineRule="auto"/>
              <w:jc w:val="center"/>
              <w:rPr>
                <w:color w:val="000000"/>
                <w:sz w:val="22"/>
                <w:szCs w:val="22"/>
              </w:rPr>
            </w:pPr>
            <w:r>
              <w:rPr>
                <w:color w:val="000000"/>
                <w:sz w:val="22"/>
                <w:szCs w:val="22"/>
              </w:rPr>
              <w:t>63.9</w:t>
            </w:r>
          </w:p>
        </w:tc>
      </w:tr>
      <w:tr w:rsidR="00D9538B" w:rsidRPr="000B133E" w:rsidTr="0095689D">
        <w:trPr>
          <w:trHeight w:val="300"/>
        </w:trPr>
        <w:tc>
          <w:tcPr>
            <w:tcW w:w="4783" w:type="dxa"/>
            <w:gridSpan w:val="2"/>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Tradables Labor Income / GDP</w:t>
            </w:r>
          </w:p>
        </w:tc>
        <w:tc>
          <w:tcPr>
            <w:tcW w:w="1671" w:type="dxa"/>
            <w:gridSpan w:val="2"/>
            <w:tcBorders>
              <w:top w:val="nil"/>
              <w:left w:val="nil"/>
              <w:bottom w:val="nil"/>
              <w:right w:val="nil"/>
            </w:tcBorders>
            <w:noWrap/>
            <w:vAlign w:val="bottom"/>
          </w:tcPr>
          <w:p w:rsidR="00D9538B" w:rsidRPr="000B133E" w:rsidRDefault="00FF7157" w:rsidP="00DD269C">
            <w:pPr>
              <w:spacing w:line="264" w:lineRule="auto"/>
              <w:jc w:val="center"/>
              <w:rPr>
                <w:color w:val="000000"/>
                <w:sz w:val="22"/>
                <w:szCs w:val="22"/>
              </w:rPr>
            </w:pPr>
            <w:r>
              <w:rPr>
                <w:color w:val="000000"/>
                <w:sz w:val="22"/>
                <w:szCs w:val="22"/>
              </w:rPr>
              <w:t>49.4</w:t>
            </w:r>
          </w:p>
        </w:tc>
        <w:tc>
          <w:tcPr>
            <w:tcW w:w="1767" w:type="dxa"/>
            <w:tcBorders>
              <w:top w:val="nil"/>
              <w:left w:val="nil"/>
              <w:bottom w:val="nil"/>
              <w:right w:val="nil"/>
            </w:tcBorders>
            <w:noWrap/>
            <w:vAlign w:val="bottom"/>
          </w:tcPr>
          <w:p w:rsidR="00D9538B" w:rsidRPr="000B133E" w:rsidRDefault="00FF7157" w:rsidP="00DD269C">
            <w:pPr>
              <w:spacing w:line="264" w:lineRule="auto"/>
              <w:jc w:val="center"/>
              <w:rPr>
                <w:color w:val="000000"/>
                <w:sz w:val="22"/>
                <w:szCs w:val="22"/>
              </w:rPr>
            </w:pPr>
            <w:r>
              <w:rPr>
                <w:color w:val="000000"/>
                <w:sz w:val="22"/>
                <w:szCs w:val="22"/>
              </w:rPr>
              <w:t>51.9</w:t>
            </w:r>
          </w:p>
        </w:tc>
      </w:tr>
      <w:tr w:rsidR="00FF7157" w:rsidRPr="000B133E" w:rsidTr="0095689D">
        <w:trPr>
          <w:trHeight w:val="315"/>
        </w:trPr>
        <w:tc>
          <w:tcPr>
            <w:tcW w:w="4783" w:type="dxa"/>
            <w:gridSpan w:val="2"/>
            <w:tcBorders>
              <w:top w:val="nil"/>
              <w:left w:val="nil"/>
              <w:bottom w:val="double" w:sz="6" w:space="0" w:color="auto"/>
              <w:right w:val="nil"/>
            </w:tcBorders>
            <w:noWrap/>
            <w:vAlign w:val="bottom"/>
          </w:tcPr>
          <w:p w:rsidR="00FF7157" w:rsidRPr="000B133E" w:rsidRDefault="00FF7157" w:rsidP="004D1056">
            <w:pPr>
              <w:spacing w:line="264" w:lineRule="auto"/>
              <w:rPr>
                <w:color w:val="000000"/>
                <w:sz w:val="22"/>
                <w:szCs w:val="22"/>
              </w:rPr>
            </w:pPr>
            <w:r w:rsidRPr="000B133E">
              <w:rPr>
                <w:color w:val="000000"/>
                <w:sz w:val="22"/>
                <w:szCs w:val="22"/>
              </w:rPr>
              <w:t>Nontradables Output / Manufacturing Output</w:t>
            </w:r>
          </w:p>
        </w:tc>
        <w:tc>
          <w:tcPr>
            <w:tcW w:w="1671" w:type="dxa"/>
            <w:gridSpan w:val="2"/>
            <w:tcBorders>
              <w:top w:val="nil"/>
              <w:left w:val="nil"/>
              <w:bottom w:val="double" w:sz="6" w:space="0" w:color="auto"/>
              <w:right w:val="nil"/>
            </w:tcBorders>
            <w:noWrap/>
            <w:vAlign w:val="bottom"/>
          </w:tcPr>
          <w:p w:rsidR="00FF7157" w:rsidRPr="000B133E" w:rsidRDefault="00FF7157" w:rsidP="00FF7157">
            <w:pPr>
              <w:spacing w:line="264" w:lineRule="auto"/>
              <w:jc w:val="center"/>
              <w:rPr>
                <w:color w:val="000000"/>
                <w:sz w:val="22"/>
                <w:szCs w:val="22"/>
              </w:rPr>
            </w:pPr>
            <w:r>
              <w:rPr>
                <w:color w:val="000000"/>
                <w:sz w:val="22"/>
                <w:szCs w:val="22"/>
              </w:rPr>
              <w:t>55</w:t>
            </w:r>
          </w:p>
        </w:tc>
        <w:tc>
          <w:tcPr>
            <w:tcW w:w="1767" w:type="dxa"/>
            <w:tcBorders>
              <w:top w:val="nil"/>
              <w:left w:val="nil"/>
              <w:bottom w:val="double" w:sz="6" w:space="0" w:color="auto"/>
              <w:right w:val="nil"/>
            </w:tcBorders>
            <w:noWrap/>
            <w:vAlign w:val="bottom"/>
          </w:tcPr>
          <w:p w:rsidR="00FF7157" w:rsidRPr="000B133E" w:rsidRDefault="00FF7157" w:rsidP="004D1056">
            <w:pPr>
              <w:spacing w:line="264" w:lineRule="auto"/>
              <w:jc w:val="center"/>
              <w:rPr>
                <w:color w:val="000000"/>
                <w:sz w:val="22"/>
                <w:szCs w:val="22"/>
              </w:rPr>
            </w:pPr>
            <w:r>
              <w:rPr>
                <w:color w:val="000000"/>
                <w:sz w:val="22"/>
                <w:szCs w:val="22"/>
              </w:rPr>
              <w:t>6</w:t>
            </w:r>
            <w:r w:rsidRPr="000B133E">
              <w:rPr>
                <w:color w:val="000000"/>
                <w:sz w:val="22"/>
                <w:szCs w:val="22"/>
              </w:rPr>
              <w:t>0</w:t>
            </w:r>
          </w:p>
        </w:tc>
      </w:tr>
      <w:tr w:rsidR="00D9538B" w:rsidRPr="000B133E" w:rsidTr="0095689D">
        <w:trPr>
          <w:trHeight w:val="315"/>
        </w:trPr>
        <w:tc>
          <w:tcPr>
            <w:tcW w:w="8221" w:type="dxa"/>
            <w:gridSpan w:val="5"/>
            <w:tcBorders>
              <w:top w:val="double" w:sz="6" w:space="0" w:color="auto"/>
              <w:left w:val="nil"/>
              <w:bottom w:val="nil"/>
              <w:right w:val="nil"/>
            </w:tcBorders>
            <w:noWrap/>
            <w:vAlign w:val="bottom"/>
          </w:tcPr>
          <w:p w:rsidR="00D9538B" w:rsidRDefault="00D9538B" w:rsidP="00DD269C">
            <w:pPr>
              <w:spacing w:line="264" w:lineRule="auto"/>
              <w:jc w:val="center"/>
              <w:rPr>
                <w:b/>
                <w:bCs/>
                <w:color w:val="000000"/>
                <w:sz w:val="22"/>
                <w:szCs w:val="22"/>
              </w:rPr>
            </w:pPr>
          </w:p>
          <w:p w:rsidR="00D9538B" w:rsidRPr="000B133E" w:rsidRDefault="00D9538B" w:rsidP="00DD269C">
            <w:pPr>
              <w:spacing w:line="264" w:lineRule="auto"/>
              <w:jc w:val="center"/>
              <w:rPr>
                <w:b/>
                <w:bCs/>
                <w:color w:val="000000"/>
                <w:sz w:val="22"/>
                <w:szCs w:val="22"/>
              </w:rPr>
            </w:pPr>
            <w:r w:rsidRPr="000B133E">
              <w:rPr>
                <w:b/>
                <w:bCs/>
                <w:color w:val="000000"/>
                <w:sz w:val="22"/>
                <w:szCs w:val="22"/>
              </w:rPr>
              <w:t xml:space="preserve">Table </w:t>
            </w:r>
            <w:r w:rsidR="00C41224">
              <w:rPr>
                <w:b/>
                <w:bCs/>
                <w:color w:val="000000"/>
                <w:sz w:val="22"/>
                <w:szCs w:val="22"/>
              </w:rPr>
              <w:t>A</w:t>
            </w:r>
            <w:r>
              <w:rPr>
                <w:b/>
                <w:bCs/>
                <w:color w:val="000000"/>
                <w:sz w:val="22"/>
                <w:szCs w:val="22"/>
              </w:rPr>
              <w:t>5</w:t>
            </w:r>
            <w:r w:rsidR="00C41224">
              <w:rPr>
                <w:b/>
                <w:bCs/>
                <w:color w:val="000000"/>
                <w:sz w:val="22"/>
                <w:szCs w:val="22"/>
              </w:rPr>
              <w:t xml:space="preserve"> </w:t>
            </w:r>
            <w:r w:rsidRPr="000B133E">
              <w:rPr>
                <w:b/>
                <w:bCs/>
                <w:color w:val="000000"/>
                <w:sz w:val="22"/>
                <w:szCs w:val="22"/>
              </w:rPr>
              <w:t xml:space="preserve"> </w:t>
            </w:r>
            <w:r w:rsidR="00357AA4">
              <w:rPr>
                <w:b/>
                <w:bCs/>
                <w:color w:val="000000"/>
                <w:sz w:val="22"/>
                <w:szCs w:val="22"/>
              </w:rPr>
              <w:t>Steady-state</w:t>
            </w:r>
            <w:r w:rsidRPr="000B133E">
              <w:rPr>
                <w:b/>
                <w:bCs/>
                <w:color w:val="000000"/>
                <w:sz w:val="22"/>
                <w:szCs w:val="22"/>
              </w:rPr>
              <w:t xml:space="preserve"> Expenditure to GDP Ratios</w:t>
            </w:r>
          </w:p>
        </w:tc>
      </w:tr>
      <w:tr w:rsidR="00D9538B" w:rsidRPr="000B133E" w:rsidTr="0095689D">
        <w:trPr>
          <w:trHeight w:val="300"/>
        </w:trPr>
        <w:tc>
          <w:tcPr>
            <w:tcW w:w="4178" w:type="dxa"/>
            <w:tcBorders>
              <w:top w:val="single" w:sz="4" w:space="0" w:color="auto"/>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 </w:t>
            </w:r>
          </w:p>
        </w:tc>
        <w:tc>
          <w:tcPr>
            <w:tcW w:w="1965" w:type="dxa"/>
            <w:gridSpan w:val="2"/>
            <w:tcBorders>
              <w:top w:val="single" w:sz="4" w:space="0" w:color="auto"/>
              <w:left w:val="nil"/>
              <w:bottom w:val="nil"/>
              <w:right w:val="nil"/>
            </w:tcBorders>
            <w:noWrap/>
            <w:vAlign w:val="bottom"/>
          </w:tcPr>
          <w:p w:rsidR="00D9538B" w:rsidRPr="000B133E" w:rsidRDefault="00D9538B" w:rsidP="00DD269C">
            <w:pPr>
              <w:spacing w:line="264" w:lineRule="auto"/>
              <w:rPr>
                <w:b/>
                <w:bCs/>
                <w:color w:val="000000"/>
                <w:sz w:val="22"/>
                <w:szCs w:val="22"/>
              </w:rPr>
            </w:pPr>
            <w:r w:rsidRPr="000B133E">
              <w:rPr>
                <w:b/>
                <w:bCs/>
                <w:color w:val="000000"/>
                <w:sz w:val="22"/>
                <w:szCs w:val="22"/>
              </w:rPr>
              <w:t>Czech Republic</w:t>
            </w:r>
          </w:p>
        </w:tc>
        <w:tc>
          <w:tcPr>
            <w:tcW w:w="2078" w:type="dxa"/>
            <w:gridSpan w:val="2"/>
            <w:tcBorders>
              <w:top w:val="single" w:sz="4" w:space="0" w:color="auto"/>
              <w:left w:val="nil"/>
              <w:bottom w:val="nil"/>
              <w:right w:val="nil"/>
            </w:tcBorders>
            <w:noWrap/>
            <w:vAlign w:val="bottom"/>
          </w:tcPr>
          <w:p w:rsidR="00D9538B" w:rsidRPr="000B133E" w:rsidRDefault="00D9538B" w:rsidP="00DD269C">
            <w:pPr>
              <w:spacing w:line="264" w:lineRule="auto"/>
              <w:rPr>
                <w:b/>
                <w:bCs/>
                <w:color w:val="000000"/>
                <w:sz w:val="22"/>
                <w:szCs w:val="22"/>
              </w:rPr>
            </w:pPr>
            <w:r w:rsidRPr="000B133E">
              <w:rPr>
                <w:b/>
                <w:bCs/>
                <w:color w:val="000000"/>
                <w:sz w:val="22"/>
                <w:szCs w:val="22"/>
              </w:rPr>
              <w:t>European Union</w:t>
            </w:r>
          </w:p>
        </w:tc>
      </w:tr>
      <w:tr w:rsidR="00D9538B" w:rsidRPr="000B133E" w:rsidTr="0095689D">
        <w:trPr>
          <w:trHeight w:val="300"/>
        </w:trPr>
        <w:tc>
          <w:tcPr>
            <w:tcW w:w="4178" w:type="dxa"/>
            <w:tcBorders>
              <w:top w:val="single" w:sz="4" w:space="0" w:color="auto"/>
              <w:left w:val="nil"/>
              <w:bottom w:val="single" w:sz="4" w:space="0" w:color="auto"/>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Share in World GDP</w:t>
            </w:r>
          </w:p>
        </w:tc>
        <w:tc>
          <w:tcPr>
            <w:tcW w:w="1965" w:type="dxa"/>
            <w:gridSpan w:val="2"/>
            <w:tcBorders>
              <w:top w:val="single" w:sz="4" w:space="0" w:color="auto"/>
              <w:left w:val="nil"/>
              <w:bottom w:val="single" w:sz="4" w:space="0" w:color="auto"/>
              <w:right w:val="nil"/>
            </w:tcBorders>
            <w:noWrap/>
            <w:vAlign w:val="bottom"/>
          </w:tcPr>
          <w:p w:rsidR="00D9538B" w:rsidRPr="000B133E" w:rsidRDefault="00D9538B" w:rsidP="00DD269C">
            <w:pPr>
              <w:spacing w:line="264" w:lineRule="auto"/>
              <w:jc w:val="center"/>
              <w:rPr>
                <w:b/>
                <w:bCs/>
                <w:color w:val="000000"/>
                <w:sz w:val="22"/>
                <w:szCs w:val="22"/>
              </w:rPr>
            </w:pPr>
            <w:r w:rsidRPr="000B133E">
              <w:rPr>
                <w:b/>
                <w:bCs/>
                <w:color w:val="000000"/>
                <w:sz w:val="22"/>
                <w:szCs w:val="22"/>
              </w:rPr>
              <w:t>1.1</w:t>
            </w:r>
          </w:p>
        </w:tc>
        <w:tc>
          <w:tcPr>
            <w:tcW w:w="2078" w:type="dxa"/>
            <w:gridSpan w:val="2"/>
            <w:tcBorders>
              <w:top w:val="single" w:sz="4" w:space="0" w:color="auto"/>
              <w:left w:val="nil"/>
              <w:bottom w:val="single" w:sz="4" w:space="0" w:color="auto"/>
              <w:right w:val="nil"/>
            </w:tcBorders>
            <w:noWrap/>
            <w:vAlign w:val="bottom"/>
          </w:tcPr>
          <w:p w:rsidR="00D9538B" w:rsidRPr="000B133E" w:rsidRDefault="00D9538B" w:rsidP="00DD269C">
            <w:pPr>
              <w:spacing w:line="264" w:lineRule="auto"/>
              <w:jc w:val="center"/>
              <w:rPr>
                <w:b/>
                <w:bCs/>
                <w:color w:val="000000"/>
                <w:sz w:val="22"/>
                <w:szCs w:val="22"/>
              </w:rPr>
            </w:pPr>
            <w:r w:rsidRPr="000B133E">
              <w:rPr>
                <w:b/>
                <w:bCs/>
                <w:color w:val="000000"/>
                <w:sz w:val="22"/>
                <w:szCs w:val="22"/>
              </w:rPr>
              <w:t>98.9</w:t>
            </w:r>
          </w:p>
        </w:tc>
      </w:tr>
      <w:tr w:rsidR="00D9538B" w:rsidRPr="000B133E" w:rsidTr="0095689D">
        <w:trPr>
          <w:trHeight w:val="300"/>
        </w:trPr>
        <w:tc>
          <w:tcPr>
            <w:tcW w:w="4178"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Consumption / GDP</w:t>
            </w:r>
          </w:p>
        </w:tc>
        <w:tc>
          <w:tcPr>
            <w:tcW w:w="1965" w:type="dxa"/>
            <w:gridSpan w:val="2"/>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46.1</w:t>
            </w:r>
          </w:p>
        </w:tc>
        <w:tc>
          <w:tcPr>
            <w:tcW w:w="2078" w:type="dxa"/>
            <w:gridSpan w:val="2"/>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59.0</w:t>
            </w:r>
          </w:p>
        </w:tc>
      </w:tr>
      <w:tr w:rsidR="00D9538B" w:rsidRPr="000B133E" w:rsidTr="0095689D">
        <w:trPr>
          <w:trHeight w:val="300"/>
        </w:trPr>
        <w:tc>
          <w:tcPr>
            <w:tcW w:w="4178"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OLG Consumption / GDP</w:t>
            </w:r>
          </w:p>
        </w:tc>
        <w:tc>
          <w:tcPr>
            <w:tcW w:w="1965" w:type="dxa"/>
            <w:gridSpan w:val="2"/>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30.6</w:t>
            </w:r>
          </w:p>
        </w:tc>
        <w:tc>
          <w:tcPr>
            <w:tcW w:w="2078" w:type="dxa"/>
            <w:gridSpan w:val="2"/>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47.5</w:t>
            </w:r>
          </w:p>
        </w:tc>
      </w:tr>
      <w:tr w:rsidR="00D9538B" w:rsidRPr="000B133E" w:rsidTr="0095689D">
        <w:trPr>
          <w:trHeight w:val="300"/>
        </w:trPr>
        <w:tc>
          <w:tcPr>
            <w:tcW w:w="4178"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 xml:space="preserve">LIQ Consumption / GDP </w:t>
            </w:r>
          </w:p>
        </w:tc>
        <w:tc>
          <w:tcPr>
            <w:tcW w:w="1965" w:type="dxa"/>
            <w:gridSpan w:val="2"/>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15.5</w:t>
            </w:r>
          </w:p>
        </w:tc>
        <w:tc>
          <w:tcPr>
            <w:tcW w:w="2078" w:type="dxa"/>
            <w:gridSpan w:val="2"/>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11.5</w:t>
            </w:r>
          </w:p>
        </w:tc>
      </w:tr>
      <w:tr w:rsidR="00D9538B" w:rsidRPr="000B133E" w:rsidTr="0095689D">
        <w:trPr>
          <w:trHeight w:val="300"/>
        </w:trPr>
        <w:tc>
          <w:tcPr>
            <w:tcW w:w="4178"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 xml:space="preserve">Private Investment / GDP </w:t>
            </w:r>
          </w:p>
        </w:tc>
        <w:tc>
          <w:tcPr>
            <w:tcW w:w="1965" w:type="dxa"/>
            <w:gridSpan w:val="2"/>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28.0</w:t>
            </w:r>
          </w:p>
        </w:tc>
        <w:tc>
          <w:tcPr>
            <w:tcW w:w="2078" w:type="dxa"/>
            <w:gridSpan w:val="2"/>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18.8</w:t>
            </w:r>
          </w:p>
        </w:tc>
      </w:tr>
      <w:tr w:rsidR="00D9538B" w:rsidRPr="000B133E" w:rsidTr="0095689D">
        <w:trPr>
          <w:trHeight w:val="300"/>
        </w:trPr>
        <w:tc>
          <w:tcPr>
            <w:tcW w:w="4178"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 xml:space="preserve">Government Investment / GDP </w:t>
            </w:r>
          </w:p>
        </w:tc>
        <w:tc>
          <w:tcPr>
            <w:tcW w:w="1965" w:type="dxa"/>
            <w:gridSpan w:val="2"/>
            <w:tcBorders>
              <w:top w:val="nil"/>
              <w:left w:val="nil"/>
              <w:bottom w:val="nil"/>
              <w:right w:val="nil"/>
            </w:tcBorders>
            <w:noWrap/>
            <w:vAlign w:val="bottom"/>
          </w:tcPr>
          <w:p w:rsidR="00D9538B" w:rsidRPr="000B133E" w:rsidRDefault="003C4ED2" w:rsidP="00DD269C">
            <w:pPr>
              <w:spacing w:line="264" w:lineRule="auto"/>
              <w:jc w:val="center"/>
              <w:rPr>
                <w:color w:val="000000"/>
                <w:sz w:val="22"/>
                <w:szCs w:val="22"/>
              </w:rPr>
            </w:pPr>
            <w:r>
              <w:rPr>
                <w:color w:val="000000"/>
                <w:sz w:val="22"/>
                <w:szCs w:val="22"/>
              </w:rPr>
              <w:t>4.3</w:t>
            </w:r>
          </w:p>
        </w:tc>
        <w:tc>
          <w:tcPr>
            <w:tcW w:w="2078" w:type="dxa"/>
            <w:gridSpan w:val="2"/>
            <w:tcBorders>
              <w:top w:val="nil"/>
              <w:left w:val="nil"/>
              <w:bottom w:val="nil"/>
              <w:right w:val="nil"/>
            </w:tcBorders>
            <w:noWrap/>
            <w:vAlign w:val="bottom"/>
          </w:tcPr>
          <w:p w:rsidR="00D9538B" w:rsidRPr="000B133E" w:rsidRDefault="00D9538B" w:rsidP="003C4ED2">
            <w:pPr>
              <w:spacing w:line="264" w:lineRule="auto"/>
              <w:jc w:val="center"/>
              <w:rPr>
                <w:color w:val="000000"/>
                <w:sz w:val="22"/>
                <w:szCs w:val="22"/>
              </w:rPr>
            </w:pPr>
            <w:r w:rsidRPr="000B133E">
              <w:rPr>
                <w:color w:val="000000"/>
                <w:sz w:val="22"/>
                <w:szCs w:val="22"/>
              </w:rPr>
              <w:t>2.</w:t>
            </w:r>
            <w:r w:rsidR="003C4ED2">
              <w:rPr>
                <w:color w:val="000000"/>
                <w:sz w:val="22"/>
                <w:szCs w:val="22"/>
              </w:rPr>
              <w:t>0</w:t>
            </w:r>
          </w:p>
        </w:tc>
      </w:tr>
      <w:tr w:rsidR="00D9538B" w:rsidRPr="000B133E" w:rsidTr="0095689D">
        <w:trPr>
          <w:trHeight w:val="300"/>
        </w:trPr>
        <w:tc>
          <w:tcPr>
            <w:tcW w:w="4178"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 xml:space="preserve">Government Consumption / GDP </w:t>
            </w:r>
          </w:p>
        </w:tc>
        <w:tc>
          <w:tcPr>
            <w:tcW w:w="1965" w:type="dxa"/>
            <w:gridSpan w:val="2"/>
            <w:tcBorders>
              <w:top w:val="nil"/>
              <w:left w:val="nil"/>
              <w:bottom w:val="nil"/>
              <w:right w:val="nil"/>
            </w:tcBorders>
            <w:noWrap/>
            <w:vAlign w:val="bottom"/>
          </w:tcPr>
          <w:p w:rsidR="00D9538B" w:rsidRPr="000B133E" w:rsidRDefault="003C4ED2" w:rsidP="00DD269C">
            <w:pPr>
              <w:spacing w:line="264" w:lineRule="auto"/>
              <w:jc w:val="center"/>
              <w:rPr>
                <w:color w:val="000000"/>
                <w:sz w:val="22"/>
                <w:szCs w:val="22"/>
              </w:rPr>
            </w:pPr>
            <w:r>
              <w:rPr>
                <w:color w:val="000000"/>
                <w:sz w:val="22"/>
                <w:szCs w:val="22"/>
              </w:rPr>
              <w:t>17.6</w:t>
            </w:r>
          </w:p>
        </w:tc>
        <w:tc>
          <w:tcPr>
            <w:tcW w:w="2078" w:type="dxa"/>
            <w:gridSpan w:val="2"/>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19.6</w:t>
            </w:r>
          </w:p>
        </w:tc>
      </w:tr>
      <w:tr w:rsidR="00D9538B" w:rsidRPr="000B133E" w:rsidTr="0095689D">
        <w:trPr>
          <w:trHeight w:val="300"/>
        </w:trPr>
        <w:tc>
          <w:tcPr>
            <w:tcW w:w="4178" w:type="dxa"/>
            <w:tcBorders>
              <w:top w:val="nil"/>
              <w:left w:val="nil"/>
              <w:bottom w:val="nil"/>
              <w:right w:val="nil"/>
            </w:tcBorders>
            <w:noWrap/>
            <w:vAlign w:val="bottom"/>
          </w:tcPr>
          <w:p w:rsidR="00D9538B" w:rsidRPr="000B133E" w:rsidRDefault="00D9538B" w:rsidP="00DD269C">
            <w:pPr>
              <w:spacing w:line="264" w:lineRule="auto"/>
              <w:rPr>
                <w:b/>
                <w:bCs/>
                <w:color w:val="000000"/>
                <w:sz w:val="22"/>
                <w:szCs w:val="22"/>
              </w:rPr>
            </w:pPr>
            <w:r w:rsidRPr="000B133E">
              <w:rPr>
                <w:b/>
                <w:bCs/>
                <w:color w:val="000000"/>
                <w:sz w:val="22"/>
                <w:szCs w:val="22"/>
              </w:rPr>
              <w:t xml:space="preserve">Exports / GDP </w:t>
            </w:r>
          </w:p>
        </w:tc>
        <w:tc>
          <w:tcPr>
            <w:tcW w:w="1965" w:type="dxa"/>
            <w:gridSpan w:val="2"/>
            <w:tcBorders>
              <w:top w:val="nil"/>
              <w:left w:val="nil"/>
              <w:bottom w:val="nil"/>
              <w:right w:val="nil"/>
            </w:tcBorders>
            <w:noWrap/>
            <w:vAlign w:val="bottom"/>
          </w:tcPr>
          <w:p w:rsidR="00D9538B" w:rsidRPr="000B133E" w:rsidRDefault="00D9538B" w:rsidP="00DD269C">
            <w:pPr>
              <w:spacing w:line="264" w:lineRule="auto"/>
              <w:jc w:val="center"/>
              <w:rPr>
                <w:b/>
                <w:bCs/>
                <w:color w:val="000000"/>
                <w:sz w:val="22"/>
                <w:szCs w:val="22"/>
              </w:rPr>
            </w:pPr>
            <w:r w:rsidRPr="000B133E">
              <w:rPr>
                <w:b/>
                <w:bCs/>
                <w:color w:val="000000"/>
                <w:sz w:val="22"/>
                <w:szCs w:val="22"/>
              </w:rPr>
              <w:t>77.5</w:t>
            </w:r>
          </w:p>
        </w:tc>
        <w:tc>
          <w:tcPr>
            <w:tcW w:w="2078" w:type="dxa"/>
            <w:gridSpan w:val="2"/>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w:t>
            </w:r>
          </w:p>
        </w:tc>
      </w:tr>
      <w:tr w:rsidR="00D9538B" w:rsidRPr="000B133E" w:rsidTr="0095689D">
        <w:trPr>
          <w:trHeight w:val="300"/>
        </w:trPr>
        <w:tc>
          <w:tcPr>
            <w:tcW w:w="4178"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 xml:space="preserve">Final Goods Exports / GDP </w:t>
            </w:r>
          </w:p>
        </w:tc>
        <w:tc>
          <w:tcPr>
            <w:tcW w:w="1965" w:type="dxa"/>
            <w:gridSpan w:val="2"/>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43.5</w:t>
            </w:r>
          </w:p>
        </w:tc>
        <w:tc>
          <w:tcPr>
            <w:tcW w:w="2078" w:type="dxa"/>
            <w:gridSpan w:val="2"/>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w:t>
            </w:r>
          </w:p>
        </w:tc>
      </w:tr>
      <w:tr w:rsidR="00D9538B" w:rsidRPr="000B133E" w:rsidTr="0095689D">
        <w:trPr>
          <w:trHeight w:val="300"/>
        </w:trPr>
        <w:tc>
          <w:tcPr>
            <w:tcW w:w="4178"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 xml:space="preserve">Intermediate Goods Exports / GDP </w:t>
            </w:r>
          </w:p>
        </w:tc>
        <w:tc>
          <w:tcPr>
            <w:tcW w:w="1965" w:type="dxa"/>
            <w:gridSpan w:val="2"/>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34.0</w:t>
            </w:r>
          </w:p>
        </w:tc>
        <w:tc>
          <w:tcPr>
            <w:tcW w:w="2078" w:type="dxa"/>
            <w:gridSpan w:val="2"/>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w:t>
            </w:r>
          </w:p>
        </w:tc>
      </w:tr>
      <w:tr w:rsidR="00D9538B" w:rsidRPr="000B133E" w:rsidTr="0095689D">
        <w:trPr>
          <w:trHeight w:val="300"/>
        </w:trPr>
        <w:tc>
          <w:tcPr>
            <w:tcW w:w="4178" w:type="dxa"/>
            <w:tcBorders>
              <w:top w:val="nil"/>
              <w:left w:val="nil"/>
              <w:bottom w:val="nil"/>
              <w:right w:val="nil"/>
            </w:tcBorders>
            <w:noWrap/>
            <w:vAlign w:val="bottom"/>
          </w:tcPr>
          <w:p w:rsidR="00D9538B" w:rsidRPr="000B133E" w:rsidRDefault="00D9538B" w:rsidP="00DD269C">
            <w:pPr>
              <w:spacing w:line="264" w:lineRule="auto"/>
              <w:rPr>
                <w:b/>
                <w:bCs/>
                <w:color w:val="000000"/>
                <w:sz w:val="22"/>
                <w:szCs w:val="22"/>
              </w:rPr>
            </w:pPr>
            <w:r w:rsidRPr="000B133E">
              <w:rPr>
                <w:b/>
                <w:bCs/>
                <w:color w:val="000000"/>
                <w:sz w:val="22"/>
                <w:szCs w:val="22"/>
              </w:rPr>
              <w:t>Imports / GDP</w:t>
            </w:r>
          </w:p>
        </w:tc>
        <w:tc>
          <w:tcPr>
            <w:tcW w:w="1965" w:type="dxa"/>
            <w:gridSpan w:val="2"/>
            <w:tcBorders>
              <w:top w:val="nil"/>
              <w:left w:val="nil"/>
              <w:bottom w:val="nil"/>
              <w:right w:val="nil"/>
            </w:tcBorders>
            <w:noWrap/>
            <w:vAlign w:val="bottom"/>
          </w:tcPr>
          <w:p w:rsidR="00D9538B" w:rsidRPr="000B133E" w:rsidRDefault="00D9538B" w:rsidP="00DD269C">
            <w:pPr>
              <w:spacing w:line="264" w:lineRule="auto"/>
              <w:jc w:val="center"/>
              <w:rPr>
                <w:b/>
                <w:bCs/>
                <w:color w:val="000000"/>
                <w:sz w:val="22"/>
                <w:szCs w:val="22"/>
              </w:rPr>
            </w:pPr>
            <w:r w:rsidRPr="000B133E">
              <w:rPr>
                <w:b/>
                <w:bCs/>
                <w:color w:val="000000"/>
                <w:sz w:val="22"/>
                <w:szCs w:val="22"/>
              </w:rPr>
              <w:t>77.5</w:t>
            </w:r>
          </w:p>
        </w:tc>
        <w:tc>
          <w:tcPr>
            <w:tcW w:w="2078" w:type="dxa"/>
            <w:gridSpan w:val="2"/>
            <w:tcBorders>
              <w:top w:val="nil"/>
              <w:left w:val="nil"/>
              <w:bottom w:val="nil"/>
              <w:right w:val="nil"/>
            </w:tcBorders>
            <w:noWrap/>
            <w:vAlign w:val="bottom"/>
          </w:tcPr>
          <w:p w:rsidR="00D9538B" w:rsidRPr="000B133E" w:rsidRDefault="00D9538B" w:rsidP="00DD269C">
            <w:pPr>
              <w:spacing w:line="264" w:lineRule="auto"/>
              <w:jc w:val="center"/>
              <w:rPr>
                <w:b/>
                <w:bCs/>
                <w:color w:val="000000"/>
                <w:sz w:val="22"/>
                <w:szCs w:val="22"/>
              </w:rPr>
            </w:pPr>
            <w:r w:rsidRPr="000B133E">
              <w:rPr>
                <w:b/>
                <w:bCs/>
                <w:color w:val="000000"/>
                <w:sz w:val="22"/>
                <w:szCs w:val="22"/>
              </w:rPr>
              <w:t>-</w:t>
            </w:r>
          </w:p>
        </w:tc>
      </w:tr>
      <w:tr w:rsidR="00D9538B" w:rsidRPr="000B133E" w:rsidTr="0095689D">
        <w:trPr>
          <w:trHeight w:val="300"/>
        </w:trPr>
        <w:tc>
          <w:tcPr>
            <w:tcW w:w="4178"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Consumption Goods Imports / GDP</w:t>
            </w:r>
          </w:p>
        </w:tc>
        <w:tc>
          <w:tcPr>
            <w:tcW w:w="1965" w:type="dxa"/>
            <w:gridSpan w:val="2"/>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22.3</w:t>
            </w:r>
          </w:p>
        </w:tc>
        <w:tc>
          <w:tcPr>
            <w:tcW w:w="2078" w:type="dxa"/>
            <w:gridSpan w:val="2"/>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w:t>
            </w:r>
          </w:p>
        </w:tc>
      </w:tr>
      <w:tr w:rsidR="00D9538B" w:rsidRPr="000B133E" w:rsidTr="0095689D">
        <w:trPr>
          <w:trHeight w:val="300"/>
        </w:trPr>
        <w:tc>
          <w:tcPr>
            <w:tcW w:w="4178"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 xml:space="preserve">Investment Goods Imports / GDP </w:t>
            </w:r>
          </w:p>
        </w:tc>
        <w:tc>
          <w:tcPr>
            <w:tcW w:w="1965" w:type="dxa"/>
            <w:gridSpan w:val="2"/>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17.4</w:t>
            </w:r>
          </w:p>
        </w:tc>
        <w:tc>
          <w:tcPr>
            <w:tcW w:w="2078" w:type="dxa"/>
            <w:gridSpan w:val="2"/>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w:t>
            </w:r>
          </w:p>
        </w:tc>
      </w:tr>
      <w:tr w:rsidR="00D9538B" w:rsidRPr="000B133E" w:rsidTr="0095689D">
        <w:trPr>
          <w:trHeight w:val="315"/>
        </w:trPr>
        <w:tc>
          <w:tcPr>
            <w:tcW w:w="4178" w:type="dxa"/>
            <w:tcBorders>
              <w:top w:val="nil"/>
              <w:left w:val="nil"/>
              <w:bottom w:val="double" w:sz="6" w:space="0" w:color="auto"/>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 xml:space="preserve">Intermediate Goods Imports / GDP </w:t>
            </w:r>
          </w:p>
        </w:tc>
        <w:tc>
          <w:tcPr>
            <w:tcW w:w="1965" w:type="dxa"/>
            <w:gridSpan w:val="2"/>
            <w:tcBorders>
              <w:top w:val="nil"/>
              <w:left w:val="nil"/>
              <w:bottom w:val="double" w:sz="6" w:space="0" w:color="auto"/>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38.8</w:t>
            </w:r>
          </w:p>
        </w:tc>
        <w:tc>
          <w:tcPr>
            <w:tcW w:w="2078" w:type="dxa"/>
            <w:gridSpan w:val="2"/>
            <w:tcBorders>
              <w:top w:val="nil"/>
              <w:left w:val="nil"/>
              <w:bottom w:val="double" w:sz="6" w:space="0" w:color="auto"/>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w:t>
            </w:r>
          </w:p>
        </w:tc>
      </w:tr>
    </w:tbl>
    <w:p w:rsidR="00D9538B" w:rsidRDefault="00D9538B" w:rsidP="00DD269C">
      <w:pPr>
        <w:autoSpaceDE w:val="0"/>
        <w:autoSpaceDN w:val="0"/>
        <w:adjustRightInd w:val="0"/>
        <w:spacing w:line="264" w:lineRule="auto"/>
        <w:ind w:left="720" w:hanging="720"/>
        <w:jc w:val="center"/>
        <w:rPr>
          <w:b/>
        </w:rPr>
      </w:pPr>
    </w:p>
    <w:tbl>
      <w:tblPr>
        <w:tblW w:w="8221" w:type="dxa"/>
        <w:tblInd w:w="93" w:type="dxa"/>
        <w:tblLook w:val="04A0"/>
      </w:tblPr>
      <w:tblGrid>
        <w:gridCol w:w="4285"/>
        <w:gridCol w:w="498"/>
        <w:gridCol w:w="1378"/>
        <w:gridCol w:w="293"/>
        <w:gridCol w:w="1691"/>
        <w:gridCol w:w="76"/>
      </w:tblGrid>
      <w:tr w:rsidR="00D9538B" w:rsidRPr="000B133E" w:rsidTr="003C4ED2">
        <w:trPr>
          <w:gridAfter w:val="1"/>
          <w:wAfter w:w="76" w:type="dxa"/>
          <w:trHeight w:val="313"/>
        </w:trPr>
        <w:tc>
          <w:tcPr>
            <w:tcW w:w="8145" w:type="dxa"/>
            <w:gridSpan w:val="5"/>
            <w:tcBorders>
              <w:top w:val="double" w:sz="6" w:space="0" w:color="auto"/>
              <w:left w:val="nil"/>
              <w:bottom w:val="nil"/>
              <w:right w:val="nil"/>
            </w:tcBorders>
            <w:noWrap/>
            <w:vAlign w:val="bottom"/>
          </w:tcPr>
          <w:p w:rsidR="00D9538B" w:rsidRPr="000B133E" w:rsidRDefault="00D9538B" w:rsidP="00DD269C">
            <w:pPr>
              <w:spacing w:line="264" w:lineRule="auto"/>
              <w:jc w:val="center"/>
              <w:rPr>
                <w:b/>
                <w:bCs/>
                <w:color w:val="000000"/>
                <w:sz w:val="22"/>
                <w:szCs w:val="22"/>
              </w:rPr>
            </w:pPr>
            <w:r w:rsidRPr="000B133E">
              <w:rPr>
                <w:b/>
                <w:bCs/>
                <w:color w:val="000000"/>
                <w:sz w:val="22"/>
                <w:szCs w:val="22"/>
              </w:rPr>
              <w:t xml:space="preserve">Table </w:t>
            </w:r>
            <w:r w:rsidR="00C41224">
              <w:rPr>
                <w:b/>
                <w:bCs/>
                <w:color w:val="000000"/>
                <w:sz w:val="22"/>
                <w:szCs w:val="22"/>
              </w:rPr>
              <w:t xml:space="preserve">A6 </w:t>
            </w:r>
            <w:r w:rsidRPr="000B133E">
              <w:rPr>
                <w:b/>
                <w:bCs/>
                <w:color w:val="000000"/>
                <w:sz w:val="22"/>
                <w:szCs w:val="22"/>
              </w:rPr>
              <w:t xml:space="preserve"> Other </w:t>
            </w:r>
            <w:r w:rsidR="005608B1">
              <w:rPr>
                <w:b/>
                <w:bCs/>
                <w:color w:val="000000"/>
                <w:sz w:val="22"/>
                <w:szCs w:val="22"/>
              </w:rPr>
              <w:t>Steady-S</w:t>
            </w:r>
            <w:r w:rsidR="00357AA4">
              <w:rPr>
                <w:b/>
                <w:bCs/>
                <w:color w:val="000000"/>
                <w:sz w:val="22"/>
                <w:szCs w:val="22"/>
              </w:rPr>
              <w:t>tate</w:t>
            </w:r>
            <w:r w:rsidRPr="000B133E">
              <w:rPr>
                <w:b/>
                <w:bCs/>
                <w:color w:val="000000"/>
                <w:sz w:val="22"/>
                <w:szCs w:val="22"/>
              </w:rPr>
              <w:t xml:space="preserve"> Ratios </w:t>
            </w:r>
          </w:p>
        </w:tc>
      </w:tr>
      <w:tr w:rsidR="00D9538B" w:rsidRPr="000B133E" w:rsidTr="003C4ED2">
        <w:trPr>
          <w:gridAfter w:val="1"/>
          <w:wAfter w:w="76" w:type="dxa"/>
          <w:trHeight w:val="298"/>
        </w:trPr>
        <w:tc>
          <w:tcPr>
            <w:tcW w:w="4285" w:type="dxa"/>
            <w:tcBorders>
              <w:top w:val="single" w:sz="4" w:space="0" w:color="auto"/>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 </w:t>
            </w:r>
          </w:p>
        </w:tc>
        <w:tc>
          <w:tcPr>
            <w:tcW w:w="1876" w:type="dxa"/>
            <w:gridSpan w:val="2"/>
            <w:tcBorders>
              <w:top w:val="single" w:sz="4" w:space="0" w:color="auto"/>
              <w:left w:val="nil"/>
              <w:bottom w:val="nil"/>
              <w:right w:val="nil"/>
            </w:tcBorders>
            <w:noWrap/>
            <w:vAlign w:val="bottom"/>
          </w:tcPr>
          <w:p w:rsidR="00D9538B" w:rsidRPr="000B133E" w:rsidRDefault="00D9538B" w:rsidP="00DD269C">
            <w:pPr>
              <w:spacing w:line="264" w:lineRule="auto"/>
              <w:rPr>
                <w:b/>
                <w:bCs/>
                <w:color w:val="000000"/>
                <w:sz w:val="22"/>
                <w:szCs w:val="22"/>
              </w:rPr>
            </w:pPr>
            <w:r w:rsidRPr="000B133E">
              <w:rPr>
                <w:b/>
                <w:bCs/>
                <w:color w:val="000000"/>
                <w:sz w:val="22"/>
                <w:szCs w:val="22"/>
              </w:rPr>
              <w:t>Czech Republic</w:t>
            </w:r>
          </w:p>
        </w:tc>
        <w:tc>
          <w:tcPr>
            <w:tcW w:w="1984" w:type="dxa"/>
            <w:gridSpan w:val="2"/>
            <w:tcBorders>
              <w:top w:val="single" w:sz="4" w:space="0" w:color="auto"/>
              <w:left w:val="nil"/>
              <w:bottom w:val="nil"/>
              <w:right w:val="nil"/>
            </w:tcBorders>
            <w:noWrap/>
            <w:vAlign w:val="bottom"/>
          </w:tcPr>
          <w:p w:rsidR="00D9538B" w:rsidRPr="000B133E" w:rsidRDefault="00D9538B" w:rsidP="00DD269C">
            <w:pPr>
              <w:spacing w:line="264" w:lineRule="auto"/>
              <w:rPr>
                <w:b/>
                <w:bCs/>
                <w:color w:val="000000"/>
                <w:sz w:val="22"/>
                <w:szCs w:val="22"/>
              </w:rPr>
            </w:pPr>
            <w:r w:rsidRPr="000B133E">
              <w:rPr>
                <w:b/>
                <w:bCs/>
                <w:color w:val="000000"/>
                <w:sz w:val="22"/>
                <w:szCs w:val="22"/>
              </w:rPr>
              <w:t>European Union</w:t>
            </w:r>
          </w:p>
        </w:tc>
      </w:tr>
      <w:tr w:rsidR="003C4ED2" w:rsidRPr="000B133E" w:rsidTr="003C4ED2">
        <w:trPr>
          <w:trHeight w:val="315"/>
        </w:trPr>
        <w:tc>
          <w:tcPr>
            <w:tcW w:w="4783" w:type="dxa"/>
            <w:gridSpan w:val="2"/>
            <w:tcBorders>
              <w:top w:val="nil"/>
              <w:left w:val="nil"/>
              <w:bottom w:val="double" w:sz="6" w:space="0" w:color="auto"/>
              <w:right w:val="nil"/>
            </w:tcBorders>
            <w:noWrap/>
            <w:vAlign w:val="bottom"/>
          </w:tcPr>
          <w:p w:rsidR="003C4ED2" w:rsidRPr="000B133E" w:rsidRDefault="003C4ED2" w:rsidP="003C4ED2">
            <w:pPr>
              <w:spacing w:line="264" w:lineRule="auto"/>
              <w:rPr>
                <w:color w:val="000000"/>
                <w:sz w:val="22"/>
                <w:szCs w:val="22"/>
              </w:rPr>
            </w:pPr>
            <w:r w:rsidRPr="000B133E">
              <w:rPr>
                <w:color w:val="000000"/>
                <w:sz w:val="22"/>
                <w:szCs w:val="22"/>
              </w:rPr>
              <w:t>Government Debt / GDP</w:t>
            </w:r>
          </w:p>
        </w:tc>
        <w:tc>
          <w:tcPr>
            <w:tcW w:w="1671" w:type="dxa"/>
            <w:gridSpan w:val="2"/>
            <w:tcBorders>
              <w:top w:val="nil"/>
              <w:left w:val="nil"/>
              <w:bottom w:val="double" w:sz="6" w:space="0" w:color="auto"/>
              <w:right w:val="nil"/>
            </w:tcBorders>
            <w:noWrap/>
            <w:vAlign w:val="bottom"/>
          </w:tcPr>
          <w:p w:rsidR="003C4ED2" w:rsidRPr="000B133E" w:rsidRDefault="003C4ED2" w:rsidP="003C4ED2">
            <w:pPr>
              <w:spacing w:line="264" w:lineRule="auto"/>
              <w:rPr>
                <w:color w:val="000000"/>
                <w:sz w:val="22"/>
                <w:szCs w:val="22"/>
              </w:rPr>
            </w:pPr>
            <w:r>
              <w:rPr>
                <w:color w:val="000000"/>
                <w:sz w:val="22"/>
                <w:szCs w:val="22"/>
              </w:rPr>
              <w:t>40</w:t>
            </w:r>
            <w:r w:rsidRPr="000B133E">
              <w:rPr>
                <w:color w:val="000000"/>
                <w:sz w:val="22"/>
                <w:szCs w:val="22"/>
              </w:rPr>
              <w:t>.4</w:t>
            </w:r>
          </w:p>
        </w:tc>
        <w:tc>
          <w:tcPr>
            <w:tcW w:w="1767" w:type="dxa"/>
            <w:gridSpan w:val="2"/>
            <w:tcBorders>
              <w:top w:val="nil"/>
              <w:left w:val="nil"/>
              <w:bottom w:val="double" w:sz="6" w:space="0" w:color="auto"/>
              <w:right w:val="nil"/>
            </w:tcBorders>
            <w:noWrap/>
            <w:vAlign w:val="bottom"/>
          </w:tcPr>
          <w:p w:rsidR="003C4ED2" w:rsidRPr="000B133E" w:rsidRDefault="00964F69" w:rsidP="003C4ED2">
            <w:pPr>
              <w:spacing w:line="264" w:lineRule="auto"/>
              <w:jc w:val="center"/>
              <w:rPr>
                <w:color w:val="000000"/>
                <w:sz w:val="22"/>
                <w:szCs w:val="22"/>
              </w:rPr>
            </w:pPr>
            <w:r>
              <w:rPr>
                <w:color w:val="000000"/>
                <w:sz w:val="22"/>
                <w:szCs w:val="22"/>
              </w:rPr>
              <w:t>80.0</w:t>
            </w:r>
          </w:p>
        </w:tc>
      </w:tr>
    </w:tbl>
    <w:p w:rsidR="005608B1" w:rsidRDefault="005608B1">
      <w:pPr>
        <w:rPr>
          <w:b/>
        </w:rPr>
      </w:pPr>
      <w:r>
        <w:rPr>
          <w:b/>
        </w:rPr>
        <w:br w:type="page"/>
      </w:r>
    </w:p>
    <w:p w:rsidR="00D9538B" w:rsidRDefault="00D9538B" w:rsidP="00DD269C">
      <w:pPr>
        <w:autoSpaceDE w:val="0"/>
        <w:autoSpaceDN w:val="0"/>
        <w:adjustRightInd w:val="0"/>
        <w:spacing w:line="264" w:lineRule="auto"/>
        <w:ind w:left="720" w:hanging="720"/>
        <w:jc w:val="center"/>
        <w:rPr>
          <w:b/>
        </w:rPr>
      </w:pPr>
    </w:p>
    <w:tbl>
      <w:tblPr>
        <w:tblW w:w="8220" w:type="dxa"/>
        <w:tblInd w:w="93" w:type="dxa"/>
        <w:tblLook w:val="04A0"/>
      </w:tblPr>
      <w:tblGrid>
        <w:gridCol w:w="4785"/>
        <w:gridCol w:w="1670"/>
        <w:gridCol w:w="1765"/>
      </w:tblGrid>
      <w:tr w:rsidR="00D9538B" w:rsidRPr="000B133E" w:rsidTr="0095689D">
        <w:trPr>
          <w:trHeight w:val="315"/>
        </w:trPr>
        <w:tc>
          <w:tcPr>
            <w:tcW w:w="8220" w:type="dxa"/>
            <w:gridSpan w:val="3"/>
            <w:tcBorders>
              <w:top w:val="double" w:sz="6" w:space="0" w:color="auto"/>
              <w:left w:val="nil"/>
              <w:bottom w:val="nil"/>
              <w:right w:val="nil"/>
            </w:tcBorders>
            <w:noWrap/>
            <w:vAlign w:val="bottom"/>
          </w:tcPr>
          <w:p w:rsidR="00D9538B" w:rsidRPr="000B133E" w:rsidRDefault="00D9538B" w:rsidP="00DD269C">
            <w:pPr>
              <w:spacing w:line="264" w:lineRule="auto"/>
              <w:jc w:val="center"/>
              <w:rPr>
                <w:b/>
                <w:bCs/>
                <w:color w:val="000000"/>
                <w:sz w:val="22"/>
                <w:szCs w:val="22"/>
              </w:rPr>
            </w:pPr>
            <w:r w:rsidRPr="000B133E">
              <w:rPr>
                <w:b/>
                <w:bCs/>
                <w:color w:val="000000"/>
                <w:sz w:val="22"/>
                <w:szCs w:val="22"/>
              </w:rPr>
              <w:t xml:space="preserve">Table </w:t>
            </w:r>
            <w:r w:rsidR="00C41224">
              <w:rPr>
                <w:b/>
                <w:bCs/>
                <w:color w:val="000000"/>
                <w:sz w:val="22"/>
                <w:szCs w:val="22"/>
              </w:rPr>
              <w:t>A</w:t>
            </w:r>
            <w:r w:rsidR="006063D1">
              <w:rPr>
                <w:b/>
                <w:bCs/>
                <w:color w:val="000000"/>
                <w:sz w:val="22"/>
                <w:szCs w:val="22"/>
              </w:rPr>
              <w:t>7</w:t>
            </w:r>
            <w:r w:rsidR="00C41224">
              <w:rPr>
                <w:b/>
                <w:bCs/>
                <w:color w:val="000000"/>
                <w:sz w:val="22"/>
                <w:szCs w:val="22"/>
              </w:rPr>
              <w:t xml:space="preserve"> </w:t>
            </w:r>
            <w:r w:rsidRPr="000B133E">
              <w:rPr>
                <w:b/>
                <w:bCs/>
                <w:color w:val="000000"/>
                <w:sz w:val="22"/>
                <w:szCs w:val="22"/>
              </w:rPr>
              <w:t xml:space="preserve"> Financial Accelerator Sector</w:t>
            </w:r>
          </w:p>
        </w:tc>
      </w:tr>
      <w:tr w:rsidR="00D9538B" w:rsidRPr="000B133E" w:rsidTr="0095689D">
        <w:trPr>
          <w:trHeight w:val="300"/>
        </w:trPr>
        <w:tc>
          <w:tcPr>
            <w:tcW w:w="4785" w:type="dxa"/>
            <w:tcBorders>
              <w:top w:val="single" w:sz="4" w:space="0" w:color="auto"/>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 </w:t>
            </w:r>
          </w:p>
        </w:tc>
        <w:tc>
          <w:tcPr>
            <w:tcW w:w="1670" w:type="dxa"/>
            <w:tcBorders>
              <w:top w:val="single" w:sz="4" w:space="0" w:color="auto"/>
              <w:left w:val="nil"/>
              <w:bottom w:val="nil"/>
              <w:right w:val="nil"/>
            </w:tcBorders>
            <w:noWrap/>
            <w:vAlign w:val="bottom"/>
          </w:tcPr>
          <w:p w:rsidR="00D9538B" w:rsidRPr="000B133E" w:rsidRDefault="00D9538B" w:rsidP="00DD269C">
            <w:pPr>
              <w:spacing w:line="264" w:lineRule="auto"/>
              <w:rPr>
                <w:b/>
                <w:bCs/>
                <w:color w:val="000000"/>
                <w:sz w:val="22"/>
                <w:szCs w:val="22"/>
              </w:rPr>
            </w:pPr>
            <w:r w:rsidRPr="000B133E">
              <w:rPr>
                <w:b/>
                <w:bCs/>
                <w:color w:val="000000"/>
                <w:sz w:val="22"/>
                <w:szCs w:val="22"/>
              </w:rPr>
              <w:t>Czech Republic</w:t>
            </w:r>
          </w:p>
        </w:tc>
        <w:tc>
          <w:tcPr>
            <w:tcW w:w="1765" w:type="dxa"/>
            <w:tcBorders>
              <w:top w:val="single" w:sz="4" w:space="0" w:color="auto"/>
              <w:left w:val="nil"/>
              <w:bottom w:val="nil"/>
              <w:right w:val="nil"/>
            </w:tcBorders>
            <w:noWrap/>
            <w:vAlign w:val="bottom"/>
          </w:tcPr>
          <w:p w:rsidR="00D9538B" w:rsidRPr="000B133E" w:rsidRDefault="00D9538B" w:rsidP="00DD269C">
            <w:pPr>
              <w:spacing w:line="264" w:lineRule="auto"/>
              <w:rPr>
                <w:b/>
                <w:bCs/>
                <w:color w:val="000000"/>
                <w:sz w:val="22"/>
                <w:szCs w:val="22"/>
              </w:rPr>
            </w:pPr>
            <w:r w:rsidRPr="000B133E">
              <w:rPr>
                <w:b/>
                <w:bCs/>
                <w:color w:val="000000"/>
                <w:sz w:val="22"/>
                <w:szCs w:val="22"/>
              </w:rPr>
              <w:t>European Union</w:t>
            </w:r>
          </w:p>
        </w:tc>
      </w:tr>
      <w:tr w:rsidR="00D9538B" w:rsidRPr="000B133E" w:rsidTr="0095689D">
        <w:trPr>
          <w:trHeight w:val="300"/>
        </w:trPr>
        <w:tc>
          <w:tcPr>
            <w:tcW w:w="4785"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Leverage in Nontradables in %</w:t>
            </w:r>
          </w:p>
        </w:tc>
        <w:tc>
          <w:tcPr>
            <w:tcW w:w="1670"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100</w:t>
            </w:r>
          </w:p>
        </w:tc>
        <w:tc>
          <w:tcPr>
            <w:tcW w:w="1765"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100</w:t>
            </w:r>
          </w:p>
        </w:tc>
      </w:tr>
      <w:tr w:rsidR="00D9538B" w:rsidRPr="000B133E" w:rsidTr="0095689D">
        <w:trPr>
          <w:trHeight w:val="300"/>
        </w:trPr>
        <w:tc>
          <w:tcPr>
            <w:tcW w:w="4785"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Leverage in Tradables in %</w:t>
            </w:r>
          </w:p>
        </w:tc>
        <w:tc>
          <w:tcPr>
            <w:tcW w:w="1670"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100</w:t>
            </w:r>
          </w:p>
        </w:tc>
        <w:tc>
          <w:tcPr>
            <w:tcW w:w="1765"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100</w:t>
            </w:r>
          </w:p>
        </w:tc>
      </w:tr>
      <w:tr w:rsidR="00D9538B" w:rsidRPr="000B133E" w:rsidTr="0095689D">
        <w:trPr>
          <w:trHeight w:val="300"/>
        </w:trPr>
        <w:tc>
          <w:tcPr>
            <w:tcW w:w="4785"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Annual Bankruptcy Rate in Nontradables in %</w:t>
            </w:r>
          </w:p>
        </w:tc>
        <w:tc>
          <w:tcPr>
            <w:tcW w:w="1670"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8</w:t>
            </w:r>
          </w:p>
        </w:tc>
        <w:tc>
          <w:tcPr>
            <w:tcW w:w="1765"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8</w:t>
            </w:r>
          </w:p>
        </w:tc>
      </w:tr>
      <w:tr w:rsidR="00D9538B" w:rsidRPr="000B133E" w:rsidTr="0095689D">
        <w:trPr>
          <w:trHeight w:val="300"/>
        </w:trPr>
        <w:tc>
          <w:tcPr>
            <w:tcW w:w="4785"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Annual Bankruptcy Rate in Tradables in %</w:t>
            </w:r>
          </w:p>
        </w:tc>
        <w:tc>
          <w:tcPr>
            <w:tcW w:w="1670"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8</w:t>
            </w:r>
          </w:p>
        </w:tc>
        <w:tc>
          <w:tcPr>
            <w:tcW w:w="1765"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8</w:t>
            </w:r>
          </w:p>
        </w:tc>
      </w:tr>
      <w:tr w:rsidR="00D9538B" w:rsidRPr="000B133E" w:rsidTr="0095689D">
        <w:trPr>
          <w:trHeight w:val="300"/>
        </w:trPr>
        <w:tc>
          <w:tcPr>
            <w:tcW w:w="4785"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External Finance Premium in Nontradables in %</w:t>
            </w:r>
          </w:p>
        </w:tc>
        <w:tc>
          <w:tcPr>
            <w:tcW w:w="1670" w:type="dxa"/>
            <w:tcBorders>
              <w:top w:val="nil"/>
              <w:left w:val="nil"/>
              <w:bottom w:val="nil"/>
              <w:right w:val="nil"/>
            </w:tcBorders>
            <w:noWrap/>
            <w:vAlign w:val="bottom"/>
          </w:tcPr>
          <w:p w:rsidR="00D9538B" w:rsidRPr="000B133E" w:rsidRDefault="00920E9D" w:rsidP="00DD269C">
            <w:pPr>
              <w:spacing w:line="264" w:lineRule="auto"/>
              <w:jc w:val="center"/>
              <w:rPr>
                <w:color w:val="000000"/>
                <w:sz w:val="22"/>
                <w:szCs w:val="22"/>
              </w:rPr>
            </w:pPr>
            <w:r>
              <w:rPr>
                <w:color w:val="000000"/>
                <w:sz w:val="22"/>
                <w:szCs w:val="22"/>
              </w:rPr>
              <w:t>2</w:t>
            </w:r>
            <w:r w:rsidR="00D9538B" w:rsidRPr="000B133E">
              <w:rPr>
                <w:color w:val="000000"/>
                <w:sz w:val="22"/>
                <w:szCs w:val="22"/>
              </w:rPr>
              <w:t>.5</w:t>
            </w:r>
          </w:p>
        </w:tc>
        <w:tc>
          <w:tcPr>
            <w:tcW w:w="1765" w:type="dxa"/>
            <w:tcBorders>
              <w:top w:val="nil"/>
              <w:left w:val="nil"/>
              <w:bottom w:val="nil"/>
              <w:right w:val="nil"/>
            </w:tcBorders>
            <w:noWrap/>
            <w:vAlign w:val="bottom"/>
          </w:tcPr>
          <w:p w:rsidR="00D9538B" w:rsidRPr="000B133E" w:rsidRDefault="00920E9D" w:rsidP="00DD269C">
            <w:pPr>
              <w:spacing w:line="264" w:lineRule="auto"/>
              <w:jc w:val="center"/>
              <w:rPr>
                <w:color w:val="000000"/>
                <w:sz w:val="22"/>
                <w:szCs w:val="22"/>
              </w:rPr>
            </w:pPr>
            <w:r>
              <w:rPr>
                <w:color w:val="000000"/>
                <w:sz w:val="22"/>
                <w:szCs w:val="22"/>
              </w:rPr>
              <w:t>2</w:t>
            </w:r>
            <w:r w:rsidR="00D9538B" w:rsidRPr="000B133E">
              <w:rPr>
                <w:color w:val="000000"/>
                <w:sz w:val="22"/>
                <w:szCs w:val="22"/>
              </w:rPr>
              <w:t>.5</w:t>
            </w:r>
          </w:p>
        </w:tc>
      </w:tr>
      <w:tr w:rsidR="00D9538B" w:rsidRPr="000B133E" w:rsidTr="0095689D">
        <w:trPr>
          <w:trHeight w:val="315"/>
        </w:trPr>
        <w:tc>
          <w:tcPr>
            <w:tcW w:w="4785" w:type="dxa"/>
            <w:tcBorders>
              <w:top w:val="nil"/>
              <w:left w:val="nil"/>
              <w:bottom w:val="double" w:sz="6" w:space="0" w:color="auto"/>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External Finance Premium in Tradables in %</w:t>
            </w:r>
          </w:p>
        </w:tc>
        <w:tc>
          <w:tcPr>
            <w:tcW w:w="1670" w:type="dxa"/>
            <w:tcBorders>
              <w:top w:val="nil"/>
              <w:left w:val="nil"/>
              <w:bottom w:val="double" w:sz="6" w:space="0" w:color="auto"/>
              <w:right w:val="nil"/>
            </w:tcBorders>
            <w:noWrap/>
            <w:vAlign w:val="bottom"/>
          </w:tcPr>
          <w:p w:rsidR="00D9538B" w:rsidRPr="000B133E" w:rsidRDefault="00920E9D" w:rsidP="00DD269C">
            <w:pPr>
              <w:spacing w:line="264" w:lineRule="auto"/>
              <w:jc w:val="center"/>
              <w:rPr>
                <w:color w:val="000000"/>
                <w:sz w:val="22"/>
                <w:szCs w:val="22"/>
              </w:rPr>
            </w:pPr>
            <w:r>
              <w:rPr>
                <w:color w:val="000000"/>
                <w:sz w:val="22"/>
                <w:szCs w:val="22"/>
              </w:rPr>
              <w:t>2</w:t>
            </w:r>
            <w:r w:rsidR="00D9538B" w:rsidRPr="000B133E">
              <w:rPr>
                <w:color w:val="000000"/>
                <w:sz w:val="22"/>
                <w:szCs w:val="22"/>
              </w:rPr>
              <w:t>.5</w:t>
            </w:r>
          </w:p>
        </w:tc>
        <w:tc>
          <w:tcPr>
            <w:tcW w:w="1765" w:type="dxa"/>
            <w:tcBorders>
              <w:top w:val="nil"/>
              <w:left w:val="nil"/>
              <w:bottom w:val="double" w:sz="6" w:space="0" w:color="auto"/>
              <w:right w:val="nil"/>
            </w:tcBorders>
            <w:noWrap/>
            <w:vAlign w:val="bottom"/>
          </w:tcPr>
          <w:p w:rsidR="00D9538B" w:rsidRPr="000B133E" w:rsidRDefault="00920E9D" w:rsidP="00DD269C">
            <w:pPr>
              <w:spacing w:line="264" w:lineRule="auto"/>
              <w:jc w:val="center"/>
              <w:rPr>
                <w:color w:val="000000"/>
                <w:sz w:val="22"/>
                <w:szCs w:val="22"/>
              </w:rPr>
            </w:pPr>
            <w:r>
              <w:rPr>
                <w:color w:val="000000"/>
                <w:sz w:val="22"/>
                <w:szCs w:val="22"/>
              </w:rPr>
              <w:t>2</w:t>
            </w:r>
            <w:r w:rsidR="00D9538B" w:rsidRPr="000B133E">
              <w:rPr>
                <w:color w:val="000000"/>
                <w:sz w:val="22"/>
                <w:szCs w:val="22"/>
              </w:rPr>
              <w:t>.5</w:t>
            </w:r>
          </w:p>
        </w:tc>
      </w:tr>
    </w:tbl>
    <w:p w:rsidR="005608B1" w:rsidRDefault="005608B1" w:rsidP="00DD269C">
      <w:pPr>
        <w:autoSpaceDE w:val="0"/>
        <w:autoSpaceDN w:val="0"/>
        <w:adjustRightInd w:val="0"/>
        <w:spacing w:line="264" w:lineRule="auto"/>
        <w:ind w:left="720" w:hanging="720"/>
        <w:jc w:val="center"/>
        <w:rPr>
          <w:b/>
        </w:rPr>
      </w:pPr>
    </w:p>
    <w:p w:rsidR="00D9538B" w:rsidRDefault="00D9538B" w:rsidP="00DD269C">
      <w:pPr>
        <w:autoSpaceDE w:val="0"/>
        <w:autoSpaceDN w:val="0"/>
        <w:adjustRightInd w:val="0"/>
        <w:spacing w:line="264" w:lineRule="auto"/>
        <w:ind w:left="720" w:hanging="720"/>
        <w:jc w:val="center"/>
        <w:rPr>
          <w:b/>
        </w:rPr>
      </w:pPr>
    </w:p>
    <w:tbl>
      <w:tblPr>
        <w:tblW w:w="8220" w:type="dxa"/>
        <w:tblInd w:w="93" w:type="dxa"/>
        <w:tblLook w:val="04A0"/>
      </w:tblPr>
      <w:tblGrid>
        <w:gridCol w:w="4289"/>
        <w:gridCol w:w="1911"/>
        <w:gridCol w:w="2020"/>
      </w:tblGrid>
      <w:tr w:rsidR="00D9538B" w:rsidRPr="000B133E" w:rsidTr="0095689D">
        <w:trPr>
          <w:trHeight w:val="315"/>
        </w:trPr>
        <w:tc>
          <w:tcPr>
            <w:tcW w:w="8220" w:type="dxa"/>
            <w:gridSpan w:val="3"/>
            <w:tcBorders>
              <w:top w:val="double" w:sz="6" w:space="0" w:color="auto"/>
              <w:left w:val="nil"/>
              <w:bottom w:val="nil"/>
              <w:right w:val="nil"/>
            </w:tcBorders>
            <w:noWrap/>
            <w:vAlign w:val="bottom"/>
          </w:tcPr>
          <w:p w:rsidR="00D9538B" w:rsidRPr="000B133E" w:rsidRDefault="00D9538B" w:rsidP="00DD269C">
            <w:pPr>
              <w:spacing w:line="264" w:lineRule="auto"/>
              <w:jc w:val="center"/>
              <w:rPr>
                <w:b/>
                <w:bCs/>
                <w:color w:val="000000"/>
                <w:sz w:val="22"/>
                <w:szCs w:val="22"/>
              </w:rPr>
            </w:pPr>
            <w:r w:rsidRPr="000B133E">
              <w:rPr>
                <w:b/>
                <w:bCs/>
                <w:color w:val="000000"/>
                <w:sz w:val="22"/>
                <w:szCs w:val="22"/>
              </w:rPr>
              <w:t xml:space="preserve">Table </w:t>
            </w:r>
            <w:r w:rsidR="00C41224">
              <w:rPr>
                <w:b/>
                <w:bCs/>
                <w:color w:val="000000"/>
                <w:sz w:val="22"/>
                <w:szCs w:val="22"/>
              </w:rPr>
              <w:t xml:space="preserve">A8 </w:t>
            </w:r>
            <w:r w:rsidRPr="000B133E">
              <w:rPr>
                <w:b/>
                <w:bCs/>
                <w:color w:val="000000"/>
                <w:sz w:val="22"/>
                <w:szCs w:val="22"/>
              </w:rPr>
              <w:t xml:space="preserve"> Monetary and Fiscal Rule Parameters</w:t>
            </w:r>
          </w:p>
        </w:tc>
      </w:tr>
      <w:tr w:rsidR="00D9538B" w:rsidRPr="000B133E" w:rsidTr="0095689D">
        <w:trPr>
          <w:trHeight w:val="300"/>
        </w:trPr>
        <w:tc>
          <w:tcPr>
            <w:tcW w:w="4289" w:type="dxa"/>
            <w:tcBorders>
              <w:top w:val="single" w:sz="4" w:space="0" w:color="auto"/>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 </w:t>
            </w:r>
          </w:p>
        </w:tc>
        <w:tc>
          <w:tcPr>
            <w:tcW w:w="1911" w:type="dxa"/>
            <w:tcBorders>
              <w:top w:val="single" w:sz="4" w:space="0" w:color="auto"/>
              <w:left w:val="nil"/>
              <w:bottom w:val="nil"/>
              <w:right w:val="nil"/>
            </w:tcBorders>
            <w:noWrap/>
            <w:vAlign w:val="bottom"/>
          </w:tcPr>
          <w:p w:rsidR="00D9538B" w:rsidRPr="000B133E" w:rsidRDefault="00D9538B" w:rsidP="00DD269C">
            <w:pPr>
              <w:spacing w:line="264" w:lineRule="auto"/>
              <w:rPr>
                <w:b/>
                <w:bCs/>
                <w:color w:val="000000"/>
                <w:sz w:val="22"/>
                <w:szCs w:val="22"/>
              </w:rPr>
            </w:pPr>
            <w:r w:rsidRPr="000B133E">
              <w:rPr>
                <w:b/>
                <w:bCs/>
                <w:color w:val="000000"/>
                <w:sz w:val="22"/>
                <w:szCs w:val="22"/>
              </w:rPr>
              <w:t>Czech Republic</w:t>
            </w:r>
          </w:p>
        </w:tc>
        <w:tc>
          <w:tcPr>
            <w:tcW w:w="2020" w:type="dxa"/>
            <w:tcBorders>
              <w:top w:val="single" w:sz="4" w:space="0" w:color="auto"/>
              <w:left w:val="nil"/>
              <w:bottom w:val="nil"/>
              <w:right w:val="nil"/>
            </w:tcBorders>
            <w:noWrap/>
            <w:vAlign w:val="bottom"/>
          </w:tcPr>
          <w:p w:rsidR="00D9538B" w:rsidRPr="000B133E" w:rsidRDefault="00D9538B" w:rsidP="00DD269C">
            <w:pPr>
              <w:spacing w:line="264" w:lineRule="auto"/>
              <w:rPr>
                <w:b/>
                <w:bCs/>
                <w:color w:val="000000"/>
                <w:sz w:val="22"/>
                <w:szCs w:val="22"/>
              </w:rPr>
            </w:pPr>
            <w:r w:rsidRPr="000B133E">
              <w:rPr>
                <w:b/>
                <w:bCs/>
                <w:color w:val="000000"/>
                <w:sz w:val="22"/>
                <w:szCs w:val="22"/>
              </w:rPr>
              <w:t>European Union</w:t>
            </w:r>
          </w:p>
        </w:tc>
      </w:tr>
      <w:tr w:rsidR="00D9538B" w:rsidRPr="000B133E" w:rsidTr="0095689D">
        <w:trPr>
          <w:trHeight w:val="300"/>
        </w:trPr>
        <w:tc>
          <w:tcPr>
            <w:tcW w:w="4289" w:type="dxa"/>
            <w:tcBorders>
              <w:top w:val="nil"/>
              <w:left w:val="nil"/>
              <w:bottom w:val="nil"/>
              <w:right w:val="nil"/>
            </w:tcBorders>
            <w:noWrap/>
            <w:vAlign w:val="bottom"/>
          </w:tcPr>
          <w:p w:rsidR="00D9538B" w:rsidRPr="000B133E" w:rsidRDefault="006E314A" w:rsidP="00DD269C">
            <w:pPr>
              <w:spacing w:line="264" w:lineRule="auto"/>
              <w:rPr>
                <w:b/>
                <w:bCs/>
                <w:color w:val="000000"/>
                <w:sz w:val="22"/>
                <w:szCs w:val="22"/>
              </w:rPr>
            </w:pPr>
            <w:r>
              <w:rPr>
                <w:b/>
                <w:bCs/>
                <w:color w:val="000000"/>
                <w:sz w:val="22"/>
                <w:szCs w:val="22"/>
              </w:rPr>
              <w:t>Monetary-policy</w:t>
            </w:r>
            <w:r w:rsidR="00D9538B" w:rsidRPr="000B133E">
              <w:rPr>
                <w:b/>
                <w:bCs/>
                <w:color w:val="000000"/>
                <w:sz w:val="22"/>
                <w:szCs w:val="22"/>
              </w:rPr>
              <w:t xml:space="preserve"> Reaction Function</w:t>
            </w:r>
          </w:p>
        </w:tc>
        <w:tc>
          <w:tcPr>
            <w:tcW w:w="1911"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p>
        </w:tc>
        <w:tc>
          <w:tcPr>
            <w:tcW w:w="2020"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p>
        </w:tc>
      </w:tr>
      <w:tr w:rsidR="00D9538B" w:rsidRPr="000B133E" w:rsidTr="00FF7157">
        <w:trPr>
          <w:trHeight w:val="378"/>
        </w:trPr>
        <w:tc>
          <w:tcPr>
            <w:tcW w:w="4289"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Lagged Nominal Interest Rate</w:t>
            </w:r>
            <w:r>
              <w:rPr>
                <w:color w:val="000000"/>
                <w:sz w:val="22"/>
                <w:szCs w:val="22"/>
              </w:rPr>
              <w:t xml:space="preserve">, </w:t>
            </w:r>
            <m:oMath>
              <m:sSub>
                <m:sSubPr>
                  <m:ctrlPr>
                    <w:rPr>
                      <w:rFonts w:ascii="Cambria Math" w:hAnsi="Cambria Math"/>
                      <w:i/>
                    </w:rPr>
                  </m:ctrlPr>
                </m:sSubPr>
                <m:e>
                  <m:r>
                    <w:rPr>
                      <w:rFonts w:ascii="Cambria Math" w:hAnsi="Cambria Math"/>
                    </w:rPr>
                    <m:t>δ</m:t>
                  </m:r>
                </m:e>
                <m:sub>
                  <m:r>
                    <w:rPr>
                      <w:rFonts w:ascii="Cambria Math" w:hAnsi="Cambria Math"/>
                    </w:rPr>
                    <m:t>t</m:t>
                  </m:r>
                </m:sub>
              </m:sSub>
            </m:oMath>
          </w:p>
        </w:tc>
        <w:tc>
          <w:tcPr>
            <w:tcW w:w="1911" w:type="dxa"/>
            <w:tcBorders>
              <w:top w:val="nil"/>
              <w:left w:val="nil"/>
              <w:bottom w:val="nil"/>
              <w:right w:val="nil"/>
            </w:tcBorders>
            <w:noWrap/>
            <w:vAlign w:val="bottom"/>
          </w:tcPr>
          <w:p w:rsidR="00D9538B" w:rsidRPr="000B133E" w:rsidRDefault="00D9538B" w:rsidP="00FF7157">
            <w:pPr>
              <w:spacing w:line="264" w:lineRule="auto"/>
              <w:jc w:val="center"/>
              <w:rPr>
                <w:color w:val="000000"/>
                <w:sz w:val="22"/>
                <w:szCs w:val="22"/>
              </w:rPr>
            </w:pPr>
            <w:r w:rsidRPr="000B133E">
              <w:rPr>
                <w:color w:val="000000"/>
                <w:sz w:val="22"/>
                <w:szCs w:val="22"/>
              </w:rPr>
              <w:t>0.3</w:t>
            </w:r>
            <w:r w:rsidR="00FF7157">
              <w:rPr>
                <w:color w:val="000000"/>
                <w:sz w:val="22"/>
                <w:szCs w:val="22"/>
              </w:rPr>
              <w:t>2</w:t>
            </w:r>
          </w:p>
        </w:tc>
        <w:tc>
          <w:tcPr>
            <w:tcW w:w="2020" w:type="dxa"/>
            <w:tcBorders>
              <w:top w:val="nil"/>
              <w:left w:val="nil"/>
              <w:bottom w:val="nil"/>
              <w:right w:val="nil"/>
            </w:tcBorders>
            <w:noWrap/>
            <w:vAlign w:val="bottom"/>
          </w:tcPr>
          <w:p w:rsidR="00D9538B" w:rsidRPr="000B133E" w:rsidRDefault="00D9538B" w:rsidP="00FF7157">
            <w:pPr>
              <w:spacing w:line="264" w:lineRule="auto"/>
              <w:jc w:val="center"/>
              <w:rPr>
                <w:color w:val="000000"/>
                <w:sz w:val="22"/>
                <w:szCs w:val="22"/>
              </w:rPr>
            </w:pPr>
            <w:r w:rsidRPr="000B133E">
              <w:rPr>
                <w:color w:val="000000"/>
                <w:sz w:val="22"/>
                <w:szCs w:val="22"/>
              </w:rPr>
              <w:t>0.34</w:t>
            </w:r>
          </w:p>
        </w:tc>
      </w:tr>
      <w:tr w:rsidR="00D9538B" w:rsidRPr="000B133E" w:rsidTr="0095689D">
        <w:trPr>
          <w:trHeight w:val="300"/>
        </w:trPr>
        <w:tc>
          <w:tcPr>
            <w:tcW w:w="4289"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Pr>
                <w:color w:val="000000"/>
                <w:sz w:val="22"/>
                <w:szCs w:val="22"/>
              </w:rPr>
              <w:t xml:space="preserve">Inflation, </w:t>
            </w:r>
            <m:oMath>
              <m:sSub>
                <m:sSubPr>
                  <m:ctrlPr>
                    <w:rPr>
                      <w:rFonts w:ascii="Cambria Math" w:hAnsi="Cambria Math"/>
                      <w:i/>
                    </w:rPr>
                  </m:ctrlPr>
                </m:sSubPr>
                <m:e>
                  <m:r>
                    <w:rPr>
                      <w:rFonts w:ascii="Cambria Math" w:hAnsi="Cambria Math"/>
                    </w:rPr>
                    <m:t>δ</m:t>
                  </m:r>
                </m:e>
                <m:sub>
                  <m:r>
                    <w:rPr>
                      <w:rFonts w:ascii="Cambria Math" w:hAnsi="Cambria Math"/>
                    </w:rPr>
                    <m:t>π</m:t>
                  </m:r>
                </m:sub>
              </m:sSub>
            </m:oMath>
          </w:p>
        </w:tc>
        <w:tc>
          <w:tcPr>
            <w:tcW w:w="1911" w:type="dxa"/>
            <w:tcBorders>
              <w:top w:val="nil"/>
              <w:left w:val="nil"/>
              <w:bottom w:val="nil"/>
              <w:right w:val="nil"/>
            </w:tcBorders>
            <w:noWrap/>
            <w:vAlign w:val="bottom"/>
          </w:tcPr>
          <w:p w:rsidR="00D9538B" w:rsidRPr="000B133E" w:rsidRDefault="004D1056" w:rsidP="00DD269C">
            <w:pPr>
              <w:spacing w:line="264" w:lineRule="auto"/>
              <w:jc w:val="center"/>
              <w:rPr>
                <w:color w:val="000000"/>
                <w:sz w:val="22"/>
                <w:szCs w:val="22"/>
              </w:rPr>
            </w:pPr>
            <w:r>
              <w:rPr>
                <w:color w:val="000000"/>
                <w:sz w:val="22"/>
                <w:szCs w:val="22"/>
              </w:rPr>
              <w:t>1.4</w:t>
            </w:r>
          </w:p>
        </w:tc>
        <w:tc>
          <w:tcPr>
            <w:tcW w:w="2020" w:type="dxa"/>
            <w:tcBorders>
              <w:top w:val="nil"/>
              <w:left w:val="nil"/>
              <w:bottom w:val="nil"/>
              <w:right w:val="nil"/>
            </w:tcBorders>
            <w:noWrap/>
            <w:vAlign w:val="bottom"/>
          </w:tcPr>
          <w:p w:rsidR="00D9538B" w:rsidRPr="000B133E" w:rsidRDefault="00D9538B" w:rsidP="00FF7157">
            <w:pPr>
              <w:spacing w:line="264" w:lineRule="auto"/>
              <w:jc w:val="center"/>
              <w:rPr>
                <w:color w:val="000000"/>
                <w:sz w:val="22"/>
                <w:szCs w:val="22"/>
              </w:rPr>
            </w:pPr>
            <w:r w:rsidRPr="000B133E">
              <w:rPr>
                <w:color w:val="000000"/>
                <w:sz w:val="22"/>
                <w:szCs w:val="22"/>
              </w:rPr>
              <w:t>1.48</w:t>
            </w:r>
          </w:p>
        </w:tc>
      </w:tr>
      <w:tr w:rsidR="00D9538B" w:rsidRPr="000B133E" w:rsidTr="0095689D">
        <w:trPr>
          <w:trHeight w:val="300"/>
        </w:trPr>
        <w:tc>
          <w:tcPr>
            <w:tcW w:w="4289" w:type="dxa"/>
            <w:tcBorders>
              <w:top w:val="nil"/>
              <w:left w:val="nil"/>
              <w:bottom w:val="nil"/>
              <w:right w:val="nil"/>
            </w:tcBorders>
            <w:noWrap/>
            <w:vAlign w:val="bottom"/>
          </w:tcPr>
          <w:p w:rsidR="00D9538B" w:rsidRPr="000B133E" w:rsidRDefault="00FF582E" w:rsidP="00DD269C">
            <w:pPr>
              <w:spacing w:line="264" w:lineRule="auto"/>
              <w:rPr>
                <w:color w:val="000000"/>
                <w:sz w:val="22"/>
                <w:szCs w:val="22"/>
              </w:rPr>
            </w:pPr>
            <w:r>
              <w:rPr>
                <w:color w:val="000000"/>
                <w:sz w:val="22"/>
                <w:szCs w:val="22"/>
              </w:rPr>
              <w:t xml:space="preserve">Inflation </w:t>
            </w:r>
            <w:r w:rsidR="00357AA4">
              <w:rPr>
                <w:color w:val="000000"/>
                <w:sz w:val="22"/>
                <w:szCs w:val="22"/>
              </w:rPr>
              <w:t>target</w:t>
            </w:r>
            <w:r w:rsidR="00D9538B">
              <w:rPr>
                <w:color w:val="000000"/>
                <w:sz w:val="22"/>
                <w:szCs w:val="22"/>
              </w:rPr>
              <w:t xml:space="preserve">, </w:t>
            </w:r>
            <m:oMath>
              <m:acc>
                <m:accPr>
                  <m:chr m:val="̅"/>
                  <m:ctrlPr>
                    <w:rPr>
                      <w:rFonts w:ascii="Cambria Math" w:hAnsi="Cambria Math"/>
                      <w:i/>
                      <w:color w:val="000000"/>
                      <w:sz w:val="22"/>
                      <w:szCs w:val="22"/>
                    </w:rPr>
                  </m:ctrlPr>
                </m:accPr>
                <m:e>
                  <m:r>
                    <w:rPr>
                      <w:rFonts w:ascii="Cambria Math" w:hAnsi="Cambria Math"/>
                      <w:color w:val="000000"/>
                      <w:sz w:val="22"/>
                      <w:szCs w:val="22"/>
                    </w:rPr>
                    <m:t>π</m:t>
                  </m:r>
                </m:e>
              </m:acc>
            </m:oMath>
            <w:r w:rsidR="00D9538B">
              <w:rPr>
                <w:color w:val="000000"/>
                <w:sz w:val="22"/>
                <w:szCs w:val="22"/>
              </w:rPr>
              <w:t xml:space="preserve"> </w:t>
            </w:r>
          </w:p>
        </w:tc>
        <w:tc>
          <w:tcPr>
            <w:tcW w:w="1911"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2</w:t>
            </w:r>
          </w:p>
        </w:tc>
        <w:tc>
          <w:tcPr>
            <w:tcW w:w="2020"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2</w:t>
            </w:r>
          </w:p>
        </w:tc>
      </w:tr>
      <w:tr w:rsidR="00D9538B" w:rsidRPr="000B133E" w:rsidTr="0095689D">
        <w:trPr>
          <w:trHeight w:val="300"/>
        </w:trPr>
        <w:tc>
          <w:tcPr>
            <w:tcW w:w="4289"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Lead on inflation (in quarters)</w:t>
            </w:r>
          </w:p>
        </w:tc>
        <w:tc>
          <w:tcPr>
            <w:tcW w:w="1911"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4</w:t>
            </w:r>
          </w:p>
        </w:tc>
        <w:tc>
          <w:tcPr>
            <w:tcW w:w="2020"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3</w:t>
            </w:r>
          </w:p>
        </w:tc>
      </w:tr>
      <w:tr w:rsidR="00D9538B" w:rsidRPr="000B133E" w:rsidTr="0095689D">
        <w:trPr>
          <w:trHeight w:val="300"/>
        </w:trPr>
        <w:tc>
          <w:tcPr>
            <w:tcW w:w="4289" w:type="dxa"/>
            <w:tcBorders>
              <w:top w:val="nil"/>
              <w:left w:val="nil"/>
              <w:bottom w:val="nil"/>
              <w:right w:val="nil"/>
            </w:tcBorders>
            <w:noWrap/>
            <w:vAlign w:val="bottom"/>
          </w:tcPr>
          <w:p w:rsidR="00D9538B" w:rsidRPr="000B133E" w:rsidRDefault="00D9538B" w:rsidP="00DD269C">
            <w:pPr>
              <w:spacing w:line="264" w:lineRule="auto"/>
              <w:rPr>
                <w:b/>
                <w:bCs/>
                <w:color w:val="000000"/>
                <w:sz w:val="22"/>
                <w:szCs w:val="22"/>
              </w:rPr>
            </w:pPr>
            <w:r w:rsidRPr="000B133E">
              <w:rPr>
                <w:b/>
                <w:bCs/>
                <w:color w:val="000000"/>
                <w:sz w:val="22"/>
                <w:szCs w:val="22"/>
              </w:rPr>
              <w:t>Fiscal Rule Parameters</w:t>
            </w:r>
          </w:p>
        </w:tc>
        <w:tc>
          <w:tcPr>
            <w:tcW w:w="1911"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p>
        </w:tc>
        <w:tc>
          <w:tcPr>
            <w:tcW w:w="2020"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p>
        </w:tc>
      </w:tr>
      <w:tr w:rsidR="00D9538B" w:rsidRPr="000B133E" w:rsidTr="0095689D">
        <w:trPr>
          <w:trHeight w:val="315"/>
        </w:trPr>
        <w:tc>
          <w:tcPr>
            <w:tcW w:w="4289" w:type="dxa"/>
            <w:tcBorders>
              <w:top w:val="nil"/>
              <w:left w:val="nil"/>
              <w:bottom w:val="double" w:sz="6" w:space="0" w:color="auto"/>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Change in deficit to output gap</w:t>
            </w:r>
            <w:r>
              <w:rPr>
                <w:color w:val="000000"/>
                <w:sz w:val="22"/>
                <w:szCs w:val="22"/>
              </w:rPr>
              <w:t xml:space="preserve">, </w:t>
            </w:r>
            <w:r w:rsidRPr="0068546D">
              <w:rPr>
                <w:position w:val="-6"/>
              </w:rPr>
              <w:object w:dxaOrig="4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5.75pt" o:ole="">
                  <v:imagedata r:id="rId8" o:title=""/>
                </v:shape>
                <o:OLEObject Type="Embed" ProgID="Equation.DSMT4" ShapeID="_x0000_i1025" DrawAspect="Content" ObjectID="_1374682677" r:id="rId9"/>
              </w:object>
            </w:r>
          </w:p>
        </w:tc>
        <w:tc>
          <w:tcPr>
            <w:tcW w:w="1911" w:type="dxa"/>
            <w:tcBorders>
              <w:top w:val="nil"/>
              <w:left w:val="nil"/>
              <w:bottom w:val="double" w:sz="6" w:space="0" w:color="auto"/>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0.39</w:t>
            </w:r>
          </w:p>
        </w:tc>
        <w:tc>
          <w:tcPr>
            <w:tcW w:w="2020" w:type="dxa"/>
            <w:tcBorders>
              <w:top w:val="nil"/>
              <w:left w:val="nil"/>
              <w:bottom w:val="double" w:sz="6" w:space="0" w:color="auto"/>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0.48</w:t>
            </w:r>
          </w:p>
        </w:tc>
      </w:tr>
    </w:tbl>
    <w:p w:rsidR="00D9538B" w:rsidRDefault="00D9538B" w:rsidP="00DD269C">
      <w:pPr>
        <w:autoSpaceDE w:val="0"/>
        <w:autoSpaceDN w:val="0"/>
        <w:adjustRightInd w:val="0"/>
        <w:spacing w:line="264" w:lineRule="auto"/>
        <w:ind w:left="720" w:hanging="720"/>
        <w:jc w:val="center"/>
        <w:rPr>
          <w:b/>
        </w:rPr>
      </w:pPr>
    </w:p>
    <w:tbl>
      <w:tblPr>
        <w:tblW w:w="8220" w:type="dxa"/>
        <w:tblInd w:w="93" w:type="dxa"/>
        <w:tblLook w:val="04A0"/>
      </w:tblPr>
      <w:tblGrid>
        <w:gridCol w:w="4177"/>
        <w:gridCol w:w="1965"/>
        <w:gridCol w:w="2078"/>
      </w:tblGrid>
      <w:tr w:rsidR="00D9538B" w:rsidRPr="000B133E" w:rsidTr="0095689D">
        <w:trPr>
          <w:trHeight w:val="315"/>
        </w:trPr>
        <w:tc>
          <w:tcPr>
            <w:tcW w:w="8220" w:type="dxa"/>
            <w:gridSpan w:val="3"/>
            <w:tcBorders>
              <w:top w:val="double" w:sz="6" w:space="0" w:color="auto"/>
              <w:left w:val="nil"/>
              <w:bottom w:val="nil"/>
              <w:right w:val="nil"/>
            </w:tcBorders>
            <w:noWrap/>
            <w:vAlign w:val="bottom"/>
          </w:tcPr>
          <w:p w:rsidR="00D9538B" w:rsidRPr="000B133E" w:rsidRDefault="00D9538B" w:rsidP="00DD269C">
            <w:pPr>
              <w:spacing w:line="264" w:lineRule="auto"/>
              <w:jc w:val="center"/>
              <w:rPr>
                <w:b/>
                <w:bCs/>
                <w:color w:val="000000"/>
                <w:sz w:val="22"/>
                <w:szCs w:val="22"/>
              </w:rPr>
            </w:pPr>
            <w:r w:rsidRPr="000B133E">
              <w:rPr>
                <w:b/>
                <w:bCs/>
                <w:color w:val="000000"/>
                <w:sz w:val="22"/>
                <w:szCs w:val="22"/>
              </w:rPr>
              <w:t xml:space="preserve">Table </w:t>
            </w:r>
            <w:r w:rsidR="00C41224">
              <w:rPr>
                <w:b/>
                <w:bCs/>
                <w:color w:val="000000"/>
                <w:sz w:val="22"/>
                <w:szCs w:val="22"/>
              </w:rPr>
              <w:t xml:space="preserve">A9 </w:t>
            </w:r>
            <w:r w:rsidRPr="000B133E">
              <w:rPr>
                <w:b/>
                <w:bCs/>
                <w:color w:val="000000"/>
                <w:sz w:val="22"/>
                <w:szCs w:val="22"/>
              </w:rPr>
              <w:t xml:space="preserve"> Adjustment Costs</w:t>
            </w:r>
          </w:p>
        </w:tc>
      </w:tr>
      <w:tr w:rsidR="00D9538B" w:rsidRPr="000B133E" w:rsidTr="0095689D">
        <w:trPr>
          <w:trHeight w:val="300"/>
        </w:trPr>
        <w:tc>
          <w:tcPr>
            <w:tcW w:w="4177" w:type="dxa"/>
            <w:tcBorders>
              <w:top w:val="single" w:sz="4" w:space="0" w:color="auto"/>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 </w:t>
            </w:r>
          </w:p>
        </w:tc>
        <w:tc>
          <w:tcPr>
            <w:tcW w:w="1965" w:type="dxa"/>
            <w:tcBorders>
              <w:top w:val="single" w:sz="4" w:space="0" w:color="auto"/>
              <w:left w:val="nil"/>
              <w:bottom w:val="nil"/>
              <w:right w:val="nil"/>
            </w:tcBorders>
            <w:noWrap/>
            <w:vAlign w:val="bottom"/>
          </w:tcPr>
          <w:p w:rsidR="00D9538B" w:rsidRPr="000B133E" w:rsidRDefault="00D9538B" w:rsidP="00DD269C">
            <w:pPr>
              <w:spacing w:line="264" w:lineRule="auto"/>
              <w:rPr>
                <w:b/>
                <w:bCs/>
                <w:color w:val="000000"/>
                <w:sz w:val="22"/>
                <w:szCs w:val="22"/>
              </w:rPr>
            </w:pPr>
            <w:r w:rsidRPr="000B133E">
              <w:rPr>
                <w:b/>
                <w:bCs/>
                <w:color w:val="000000"/>
                <w:sz w:val="22"/>
                <w:szCs w:val="22"/>
              </w:rPr>
              <w:t>Czech Republic</w:t>
            </w:r>
          </w:p>
        </w:tc>
        <w:tc>
          <w:tcPr>
            <w:tcW w:w="2078" w:type="dxa"/>
            <w:tcBorders>
              <w:top w:val="single" w:sz="4" w:space="0" w:color="auto"/>
              <w:left w:val="nil"/>
              <w:bottom w:val="nil"/>
              <w:right w:val="nil"/>
            </w:tcBorders>
            <w:noWrap/>
            <w:vAlign w:val="bottom"/>
          </w:tcPr>
          <w:p w:rsidR="00D9538B" w:rsidRPr="000B133E" w:rsidRDefault="00D9538B" w:rsidP="00DD269C">
            <w:pPr>
              <w:spacing w:line="264" w:lineRule="auto"/>
              <w:rPr>
                <w:b/>
                <w:bCs/>
                <w:color w:val="000000"/>
                <w:sz w:val="22"/>
                <w:szCs w:val="22"/>
              </w:rPr>
            </w:pPr>
            <w:r w:rsidRPr="000B133E">
              <w:rPr>
                <w:b/>
                <w:bCs/>
                <w:color w:val="000000"/>
                <w:sz w:val="22"/>
                <w:szCs w:val="22"/>
              </w:rPr>
              <w:t>European Union</w:t>
            </w:r>
          </w:p>
        </w:tc>
      </w:tr>
      <w:tr w:rsidR="00D9538B" w:rsidRPr="000B133E" w:rsidTr="0095689D">
        <w:trPr>
          <w:trHeight w:val="300"/>
        </w:trPr>
        <w:tc>
          <w:tcPr>
            <w:tcW w:w="4177" w:type="dxa"/>
            <w:tcBorders>
              <w:top w:val="nil"/>
              <w:left w:val="nil"/>
              <w:bottom w:val="nil"/>
              <w:right w:val="nil"/>
            </w:tcBorders>
            <w:noWrap/>
            <w:vAlign w:val="bottom"/>
          </w:tcPr>
          <w:p w:rsidR="00D9538B" w:rsidRPr="000B133E" w:rsidRDefault="00D9538B" w:rsidP="00DD269C">
            <w:pPr>
              <w:spacing w:line="264" w:lineRule="auto"/>
              <w:rPr>
                <w:b/>
                <w:bCs/>
                <w:color w:val="000000"/>
                <w:sz w:val="22"/>
                <w:szCs w:val="22"/>
              </w:rPr>
            </w:pPr>
            <w:r w:rsidRPr="000B133E">
              <w:rPr>
                <w:b/>
                <w:bCs/>
                <w:color w:val="000000"/>
                <w:sz w:val="22"/>
                <w:szCs w:val="22"/>
              </w:rPr>
              <w:t>Price Adjustment Costs</w:t>
            </w:r>
          </w:p>
        </w:tc>
        <w:tc>
          <w:tcPr>
            <w:tcW w:w="1965"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p>
        </w:tc>
        <w:tc>
          <w:tcPr>
            <w:tcW w:w="2078"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p>
        </w:tc>
      </w:tr>
      <w:tr w:rsidR="00D9538B" w:rsidRPr="000B133E" w:rsidTr="0095689D">
        <w:trPr>
          <w:trHeight w:val="300"/>
        </w:trPr>
        <w:tc>
          <w:tcPr>
            <w:tcW w:w="4177"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 xml:space="preserve">Unions </w:t>
            </w:r>
          </w:p>
        </w:tc>
        <w:tc>
          <w:tcPr>
            <w:tcW w:w="1965"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45</w:t>
            </w:r>
          </w:p>
        </w:tc>
        <w:tc>
          <w:tcPr>
            <w:tcW w:w="2078"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60</w:t>
            </w:r>
          </w:p>
        </w:tc>
      </w:tr>
      <w:tr w:rsidR="00D9538B" w:rsidRPr="000B133E" w:rsidTr="0095689D">
        <w:trPr>
          <w:trHeight w:val="300"/>
        </w:trPr>
        <w:tc>
          <w:tcPr>
            <w:tcW w:w="4177"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 xml:space="preserve">Distributors </w:t>
            </w:r>
          </w:p>
        </w:tc>
        <w:tc>
          <w:tcPr>
            <w:tcW w:w="1965"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45</w:t>
            </w:r>
          </w:p>
        </w:tc>
        <w:tc>
          <w:tcPr>
            <w:tcW w:w="2078"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60</w:t>
            </w:r>
          </w:p>
        </w:tc>
      </w:tr>
      <w:tr w:rsidR="00D9538B" w:rsidRPr="000B133E" w:rsidTr="0095689D">
        <w:trPr>
          <w:trHeight w:val="300"/>
        </w:trPr>
        <w:tc>
          <w:tcPr>
            <w:tcW w:w="4177"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 xml:space="preserve">Non Tradable Sector </w:t>
            </w:r>
          </w:p>
        </w:tc>
        <w:tc>
          <w:tcPr>
            <w:tcW w:w="1965"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45</w:t>
            </w:r>
          </w:p>
        </w:tc>
        <w:tc>
          <w:tcPr>
            <w:tcW w:w="2078"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60</w:t>
            </w:r>
          </w:p>
        </w:tc>
      </w:tr>
      <w:tr w:rsidR="00D9538B" w:rsidRPr="000B133E" w:rsidTr="0095689D">
        <w:trPr>
          <w:trHeight w:val="300"/>
        </w:trPr>
        <w:tc>
          <w:tcPr>
            <w:tcW w:w="4177"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 xml:space="preserve">Tradable Sector </w:t>
            </w:r>
          </w:p>
        </w:tc>
        <w:tc>
          <w:tcPr>
            <w:tcW w:w="1965"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45</w:t>
            </w:r>
          </w:p>
        </w:tc>
        <w:tc>
          <w:tcPr>
            <w:tcW w:w="2078"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60</w:t>
            </w:r>
          </w:p>
        </w:tc>
      </w:tr>
      <w:tr w:rsidR="00D9538B" w:rsidRPr="000B133E" w:rsidTr="0095689D">
        <w:trPr>
          <w:trHeight w:val="300"/>
        </w:trPr>
        <w:tc>
          <w:tcPr>
            <w:tcW w:w="4177"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 xml:space="preserve">Imported Final Goods </w:t>
            </w:r>
          </w:p>
        </w:tc>
        <w:tc>
          <w:tcPr>
            <w:tcW w:w="1965"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4.5</w:t>
            </w:r>
          </w:p>
        </w:tc>
        <w:tc>
          <w:tcPr>
            <w:tcW w:w="2078"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20</w:t>
            </w:r>
          </w:p>
        </w:tc>
      </w:tr>
      <w:tr w:rsidR="00D9538B" w:rsidRPr="000B133E" w:rsidTr="0095689D">
        <w:trPr>
          <w:trHeight w:val="300"/>
        </w:trPr>
        <w:tc>
          <w:tcPr>
            <w:tcW w:w="4177"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 xml:space="preserve">Imports Intermediary Goods </w:t>
            </w:r>
          </w:p>
        </w:tc>
        <w:tc>
          <w:tcPr>
            <w:tcW w:w="1965"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4.5</w:t>
            </w:r>
          </w:p>
        </w:tc>
        <w:tc>
          <w:tcPr>
            <w:tcW w:w="2078"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20</w:t>
            </w:r>
          </w:p>
        </w:tc>
      </w:tr>
      <w:tr w:rsidR="00D9538B" w:rsidRPr="000B133E" w:rsidTr="0095689D">
        <w:trPr>
          <w:trHeight w:val="300"/>
        </w:trPr>
        <w:tc>
          <w:tcPr>
            <w:tcW w:w="4177" w:type="dxa"/>
            <w:tcBorders>
              <w:top w:val="nil"/>
              <w:left w:val="nil"/>
              <w:bottom w:val="nil"/>
              <w:right w:val="nil"/>
            </w:tcBorders>
            <w:noWrap/>
            <w:vAlign w:val="bottom"/>
          </w:tcPr>
          <w:p w:rsidR="00D9538B" w:rsidRPr="000B133E" w:rsidRDefault="00D9538B" w:rsidP="00DD269C">
            <w:pPr>
              <w:spacing w:line="264" w:lineRule="auto"/>
              <w:rPr>
                <w:b/>
                <w:bCs/>
                <w:color w:val="000000"/>
                <w:sz w:val="22"/>
                <w:szCs w:val="22"/>
              </w:rPr>
            </w:pPr>
            <w:r w:rsidRPr="000B133E">
              <w:rPr>
                <w:b/>
                <w:bCs/>
                <w:color w:val="000000"/>
                <w:sz w:val="22"/>
                <w:szCs w:val="22"/>
              </w:rPr>
              <w:t>Quantity Adjustment Costs</w:t>
            </w:r>
          </w:p>
        </w:tc>
        <w:tc>
          <w:tcPr>
            <w:tcW w:w="1965"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p>
        </w:tc>
        <w:tc>
          <w:tcPr>
            <w:tcW w:w="2078"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p>
        </w:tc>
      </w:tr>
      <w:tr w:rsidR="00D9538B" w:rsidRPr="000B133E" w:rsidTr="0095689D">
        <w:trPr>
          <w:trHeight w:val="300"/>
        </w:trPr>
        <w:tc>
          <w:tcPr>
            <w:tcW w:w="4177"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 xml:space="preserve">Consumption </w:t>
            </w:r>
          </w:p>
        </w:tc>
        <w:tc>
          <w:tcPr>
            <w:tcW w:w="1965"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2</w:t>
            </w:r>
          </w:p>
        </w:tc>
        <w:tc>
          <w:tcPr>
            <w:tcW w:w="2078"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2</w:t>
            </w:r>
          </w:p>
        </w:tc>
      </w:tr>
      <w:tr w:rsidR="00D9538B" w:rsidRPr="000B133E" w:rsidTr="0095689D">
        <w:trPr>
          <w:trHeight w:val="300"/>
        </w:trPr>
        <w:tc>
          <w:tcPr>
            <w:tcW w:w="4177"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Investment</w:t>
            </w:r>
          </w:p>
        </w:tc>
        <w:tc>
          <w:tcPr>
            <w:tcW w:w="1965"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4</w:t>
            </w:r>
          </w:p>
        </w:tc>
        <w:tc>
          <w:tcPr>
            <w:tcW w:w="2078"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4</w:t>
            </w:r>
          </w:p>
        </w:tc>
      </w:tr>
      <w:tr w:rsidR="00D9538B" w:rsidRPr="000B133E" w:rsidTr="0095689D">
        <w:trPr>
          <w:trHeight w:val="300"/>
        </w:trPr>
        <w:tc>
          <w:tcPr>
            <w:tcW w:w="4177"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Labor Demand</w:t>
            </w:r>
          </w:p>
        </w:tc>
        <w:tc>
          <w:tcPr>
            <w:tcW w:w="1965" w:type="dxa"/>
            <w:tcBorders>
              <w:top w:val="nil"/>
              <w:left w:val="nil"/>
              <w:bottom w:val="nil"/>
              <w:right w:val="nil"/>
            </w:tcBorders>
            <w:noWrap/>
            <w:vAlign w:val="bottom"/>
          </w:tcPr>
          <w:p w:rsidR="00D9538B" w:rsidRPr="000B133E" w:rsidRDefault="00920E9D" w:rsidP="00DD269C">
            <w:pPr>
              <w:spacing w:line="264" w:lineRule="auto"/>
              <w:jc w:val="center"/>
              <w:rPr>
                <w:color w:val="000000"/>
                <w:sz w:val="22"/>
                <w:szCs w:val="22"/>
              </w:rPr>
            </w:pPr>
            <w:r>
              <w:rPr>
                <w:color w:val="000000"/>
                <w:sz w:val="22"/>
                <w:szCs w:val="22"/>
              </w:rPr>
              <w:t>1</w:t>
            </w:r>
          </w:p>
        </w:tc>
        <w:tc>
          <w:tcPr>
            <w:tcW w:w="2078" w:type="dxa"/>
            <w:tcBorders>
              <w:top w:val="nil"/>
              <w:left w:val="nil"/>
              <w:bottom w:val="nil"/>
              <w:right w:val="nil"/>
            </w:tcBorders>
            <w:noWrap/>
            <w:vAlign w:val="bottom"/>
          </w:tcPr>
          <w:p w:rsidR="00D9538B" w:rsidRPr="000B133E" w:rsidRDefault="00920E9D" w:rsidP="00DD269C">
            <w:pPr>
              <w:spacing w:line="264" w:lineRule="auto"/>
              <w:jc w:val="center"/>
              <w:rPr>
                <w:color w:val="000000"/>
                <w:sz w:val="22"/>
                <w:szCs w:val="22"/>
              </w:rPr>
            </w:pPr>
            <w:r>
              <w:rPr>
                <w:color w:val="000000"/>
                <w:sz w:val="22"/>
                <w:szCs w:val="22"/>
              </w:rPr>
              <w:t>1</w:t>
            </w:r>
          </w:p>
        </w:tc>
      </w:tr>
      <w:tr w:rsidR="00D9538B" w:rsidRPr="000B133E" w:rsidTr="0095689D">
        <w:trPr>
          <w:trHeight w:val="300"/>
        </w:trPr>
        <w:tc>
          <w:tcPr>
            <w:tcW w:w="4177" w:type="dxa"/>
            <w:tcBorders>
              <w:top w:val="nil"/>
              <w:left w:val="nil"/>
              <w:bottom w:val="nil"/>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 xml:space="preserve">Trade Flows of Final Goods </w:t>
            </w:r>
          </w:p>
        </w:tc>
        <w:tc>
          <w:tcPr>
            <w:tcW w:w="1965"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w:t>
            </w:r>
          </w:p>
        </w:tc>
        <w:tc>
          <w:tcPr>
            <w:tcW w:w="2078" w:type="dxa"/>
            <w:tcBorders>
              <w:top w:val="nil"/>
              <w:left w:val="nil"/>
              <w:bottom w:val="nil"/>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w:t>
            </w:r>
          </w:p>
        </w:tc>
      </w:tr>
      <w:tr w:rsidR="00D9538B" w:rsidRPr="000B133E" w:rsidTr="0095689D">
        <w:trPr>
          <w:trHeight w:val="315"/>
        </w:trPr>
        <w:tc>
          <w:tcPr>
            <w:tcW w:w="4177" w:type="dxa"/>
            <w:tcBorders>
              <w:top w:val="nil"/>
              <w:left w:val="nil"/>
              <w:bottom w:val="double" w:sz="6" w:space="0" w:color="auto"/>
              <w:right w:val="nil"/>
            </w:tcBorders>
            <w:noWrap/>
            <w:vAlign w:val="bottom"/>
          </w:tcPr>
          <w:p w:rsidR="00D9538B" w:rsidRPr="000B133E" w:rsidRDefault="00D9538B" w:rsidP="00DD269C">
            <w:pPr>
              <w:spacing w:line="264" w:lineRule="auto"/>
              <w:rPr>
                <w:color w:val="000000"/>
                <w:sz w:val="22"/>
                <w:szCs w:val="22"/>
              </w:rPr>
            </w:pPr>
            <w:r w:rsidRPr="000B133E">
              <w:rPr>
                <w:color w:val="000000"/>
                <w:sz w:val="22"/>
                <w:szCs w:val="22"/>
              </w:rPr>
              <w:t xml:space="preserve">Trade Flows of Intermediary Goods </w:t>
            </w:r>
          </w:p>
        </w:tc>
        <w:tc>
          <w:tcPr>
            <w:tcW w:w="1965" w:type="dxa"/>
            <w:tcBorders>
              <w:top w:val="nil"/>
              <w:left w:val="nil"/>
              <w:bottom w:val="double" w:sz="6" w:space="0" w:color="auto"/>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w:t>
            </w:r>
          </w:p>
        </w:tc>
        <w:tc>
          <w:tcPr>
            <w:tcW w:w="2078" w:type="dxa"/>
            <w:tcBorders>
              <w:top w:val="nil"/>
              <w:left w:val="nil"/>
              <w:bottom w:val="double" w:sz="6" w:space="0" w:color="auto"/>
              <w:right w:val="nil"/>
            </w:tcBorders>
            <w:noWrap/>
            <w:vAlign w:val="bottom"/>
          </w:tcPr>
          <w:p w:rsidR="00D9538B" w:rsidRPr="000B133E" w:rsidRDefault="00D9538B" w:rsidP="00DD269C">
            <w:pPr>
              <w:spacing w:line="264" w:lineRule="auto"/>
              <w:jc w:val="center"/>
              <w:rPr>
                <w:color w:val="000000"/>
                <w:sz w:val="22"/>
                <w:szCs w:val="22"/>
              </w:rPr>
            </w:pPr>
            <w:r w:rsidRPr="000B133E">
              <w:rPr>
                <w:color w:val="000000"/>
                <w:sz w:val="22"/>
                <w:szCs w:val="22"/>
              </w:rPr>
              <w:t>1</w:t>
            </w:r>
          </w:p>
        </w:tc>
      </w:tr>
    </w:tbl>
    <w:p w:rsidR="00D9538B" w:rsidRDefault="00D9538B" w:rsidP="00DD269C">
      <w:pPr>
        <w:autoSpaceDE w:val="0"/>
        <w:autoSpaceDN w:val="0"/>
        <w:adjustRightInd w:val="0"/>
        <w:spacing w:line="264" w:lineRule="auto"/>
        <w:ind w:left="720" w:hanging="720"/>
        <w:jc w:val="center"/>
        <w:rPr>
          <w:b/>
        </w:rPr>
      </w:pPr>
    </w:p>
    <w:p w:rsidR="005A528B" w:rsidRPr="00E31526" w:rsidRDefault="005A528B" w:rsidP="00DD269C">
      <w:pPr>
        <w:spacing w:line="264" w:lineRule="auto"/>
        <w:jc w:val="center"/>
        <w:rPr>
          <w:b/>
          <w:noProof/>
        </w:rPr>
      </w:pPr>
      <w:r w:rsidRPr="00F3335A">
        <w:rPr>
          <w:noProof/>
        </w:rPr>
        <w:br w:type="page"/>
      </w:r>
      <w:r w:rsidR="00E31526" w:rsidRPr="00E31526">
        <w:rPr>
          <w:b/>
          <w:noProof/>
        </w:rPr>
        <w:lastRenderedPageBreak/>
        <w:t>Appendix I</w:t>
      </w:r>
      <w:r>
        <w:rPr>
          <w:b/>
          <w:noProof/>
        </w:rPr>
        <w:t>I</w:t>
      </w:r>
      <w:r w:rsidR="00C41224">
        <w:rPr>
          <w:b/>
          <w:noProof/>
        </w:rPr>
        <w:t xml:space="preserve"> </w:t>
      </w:r>
      <w:r w:rsidR="00E31526" w:rsidRPr="00E31526">
        <w:rPr>
          <w:b/>
          <w:noProof/>
        </w:rPr>
        <w:t xml:space="preserve"> </w:t>
      </w:r>
      <w:r w:rsidRPr="00E31526">
        <w:rPr>
          <w:b/>
          <w:noProof/>
        </w:rPr>
        <w:t>Detailed Estimates of Fiscal Multipliers</w:t>
      </w:r>
    </w:p>
    <w:p w:rsidR="005A528B" w:rsidRDefault="005A528B" w:rsidP="00DD269C">
      <w:pPr>
        <w:spacing w:line="264" w:lineRule="auto"/>
        <w:rPr>
          <w:noProof/>
        </w:rPr>
      </w:pPr>
    </w:p>
    <w:p w:rsidR="004078FB" w:rsidRPr="00CE13E0" w:rsidRDefault="004078FB" w:rsidP="00DD269C">
      <w:pPr>
        <w:spacing w:line="264" w:lineRule="auto"/>
        <w:rPr>
          <w:b/>
          <w:noProof/>
        </w:rPr>
      </w:pPr>
      <w:r>
        <w:rPr>
          <w:noProof/>
        </w:rPr>
        <w:t xml:space="preserve">The following analysis </w:t>
      </w:r>
      <w:r w:rsidR="00CF71A2">
        <w:rPr>
          <w:noProof/>
        </w:rPr>
        <w:t>presents</w:t>
      </w:r>
      <w:r>
        <w:rPr>
          <w:noProof/>
        </w:rPr>
        <w:t xml:space="preserve"> the simulations summarized in Figure</w:t>
      </w:r>
      <w:r w:rsidR="00CE13E0">
        <w:rPr>
          <w:noProof/>
        </w:rPr>
        <w:t>s</w:t>
      </w:r>
      <w:r w:rsidR="00C41224">
        <w:rPr>
          <w:noProof/>
        </w:rPr>
        <w:t xml:space="preserve"> A</w:t>
      </w:r>
      <w:r>
        <w:rPr>
          <w:noProof/>
        </w:rPr>
        <w:t xml:space="preserve">1 </w:t>
      </w:r>
      <w:r w:rsidR="00C41224">
        <w:rPr>
          <w:noProof/>
        </w:rPr>
        <w:t>to A</w:t>
      </w:r>
      <w:r>
        <w:rPr>
          <w:noProof/>
        </w:rPr>
        <w:t xml:space="preserve">7 </w:t>
      </w:r>
      <w:r w:rsidR="00C41224">
        <w:rPr>
          <w:noProof/>
        </w:rPr>
        <w:t>and Tables A10 to A</w:t>
      </w:r>
      <w:r w:rsidR="00CE13E0">
        <w:rPr>
          <w:noProof/>
        </w:rPr>
        <w:t>16 with labor income taxes satisfying the fiscal rule</w:t>
      </w:r>
      <w:r>
        <w:rPr>
          <w:noProof/>
        </w:rPr>
        <w:t xml:space="preserve">. </w:t>
      </w:r>
      <w:r w:rsidR="00C41224">
        <w:rPr>
          <w:noProof/>
        </w:rPr>
        <w:t>Tables A17 to A</w:t>
      </w:r>
      <w:r w:rsidR="00CE13E0">
        <w:rPr>
          <w:noProof/>
        </w:rPr>
        <w:t>23 summarize the real GDP values for consolidation with general transfers satisfying the fiscal rule.</w:t>
      </w:r>
    </w:p>
    <w:p w:rsidR="004078FB" w:rsidRDefault="004078FB" w:rsidP="00DD269C">
      <w:pPr>
        <w:spacing w:line="264" w:lineRule="auto"/>
        <w:rPr>
          <w:noProof/>
        </w:rPr>
      </w:pPr>
    </w:p>
    <w:p w:rsidR="00E96447" w:rsidRDefault="00E96447" w:rsidP="00DD269C">
      <w:pPr>
        <w:autoSpaceDE w:val="0"/>
        <w:autoSpaceDN w:val="0"/>
        <w:adjustRightInd w:val="0"/>
        <w:spacing w:line="264" w:lineRule="auto"/>
        <w:rPr>
          <w:b/>
        </w:rPr>
      </w:pPr>
      <w:r w:rsidRPr="00716214">
        <w:rPr>
          <w:b/>
        </w:rPr>
        <w:t>Government Consumption Expenditure</w:t>
      </w:r>
    </w:p>
    <w:p w:rsidR="00E96447" w:rsidRDefault="00E96447" w:rsidP="00DD269C">
      <w:pPr>
        <w:autoSpaceDE w:val="0"/>
        <w:autoSpaceDN w:val="0"/>
        <w:adjustRightInd w:val="0"/>
        <w:spacing w:line="264" w:lineRule="auto"/>
        <w:rPr>
          <w:b/>
        </w:rPr>
      </w:pPr>
    </w:p>
    <w:p w:rsidR="00E96447" w:rsidRDefault="00E96447" w:rsidP="00DD269C">
      <w:pPr>
        <w:autoSpaceDE w:val="0"/>
        <w:autoSpaceDN w:val="0"/>
        <w:adjustRightInd w:val="0"/>
        <w:spacing w:line="264" w:lineRule="auto"/>
      </w:pPr>
      <w:r>
        <w:t xml:space="preserve">Fiscal consolidation </w:t>
      </w:r>
      <w:r w:rsidRPr="00E5092A">
        <w:t>with government consumption expenditure</w:t>
      </w:r>
      <w:r>
        <w:t xml:space="preserve"> has a direct impact on aggregate demand.</w:t>
      </w:r>
      <w:r w:rsidRPr="009645C3">
        <w:t xml:space="preserve"> </w:t>
      </w:r>
      <w:r w:rsidRPr="00B26890">
        <w:t xml:space="preserve">For a case of a ten year </w:t>
      </w:r>
      <w:r>
        <w:t xml:space="preserve">consolidation, credible </w:t>
      </w:r>
      <w:r w:rsidR="004078FB">
        <w:t>after</w:t>
      </w:r>
      <w:r>
        <w:t xml:space="preserve"> </w:t>
      </w:r>
      <w:r w:rsidR="00665DFC">
        <w:t>one year</w:t>
      </w:r>
      <w:r>
        <w:t xml:space="preserve">, </w:t>
      </w:r>
      <w:r w:rsidR="004078FB">
        <w:t xml:space="preserve">see </w:t>
      </w:r>
      <w:r w:rsidR="008C0088">
        <w:rPr>
          <w:noProof/>
        </w:rPr>
        <w:t>Figure A</w:t>
      </w:r>
      <w:r w:rsidR="004078FB">
        <w:rPr>
          <w:noProof/>
        </w:rPr>
        <w:t>1</w:t>
      </w:r>
      <w:r w:rsidRPr="00B26890">
        <w:t xml:space="preserve">, </w:t>
      </w:r>
      <w:r w:rsidR="004078FB">
        <w:t xml:space="preserve">real </w:t>
      </w:r>
      <w:r w:rsidRPr="00B26890">
        <w:t xml:space="preserve">GDP troughs to </w:t>
      </w:r>
      <w:r w:rsidR="004078FB">
        <w:t>-</w:t>
      </w:r>
      <w:r w:rsidRPr="00B26890">
        <w:t>0.4</w:t>
      </w:r>
      <w:r>
        <w:t xml:space="preserve"> percent</w:t>
      </w:r>
      <w:r w:rsidRPr="00B26890">
        <w:t xml:space="preserve"> in the first year.</w:t>
      </w:r>
      <w:r>
        <w:t xml:space="preserve"> The reduction in </w:t>
      </w:r>
      <w:r w:rsidR="006C0839">
        <w:t xml:space="preserve">government </w:t>
      </w:r>
      <w:r>
        <w:t xml:space="preserve">demand reduces incomes </w:t>
      </w:r>
      <w:r w:rsidR="006C0839">
        <w:t xml:space="preserve">and results in </w:t>
      </w:r>
      <w:r>
        <w:t xml:space="preserve">a fall </w:t>
      </w:r>
      <w:r w:rsidR="006C0839">
        <w:t>in</w:t>
      </w:r>
      <w:r>
        <w:t xml:space="preserve"> </w:t>
      </w:r>
      <w:r w:rsidR="00307DA3">
        <w:t xml:space="preserve">real </w:t>
      </w:r>
      <w:r w:rsidR="006C0839">
        <w:t xml:space="preserve">private </w:t>
      </w:r>
      <w:r>
        <w:t xml:space="preserve">consumption and investment by </w:t>
      </w:r>
      <w:r w:rsidR="00665DFC">
        <w:t>0.2</w:t>
      </w:r>
      <w:r>
        <w:t xml:space="preserve"> in the second year. Inflation falls by </w:t>
      </w:r>
      <w:r w:rsidR="00665DFC">
        <w:t xml:space="preserve">4 </w:t>
      </w:r>
      <w:r>
        <w:t xml:space="preserve">basis </w:t>
      </w:r>
      <w:r w:rsidR="00665DFC">
        <w:t>points and</w:t>
      </w:r>
      <w:r>
        <w:t xml:space="preserve"> the CNB responds </w:t>
      </w:r>
      <w:r w:rsidR="008C0088">
        <w:t>with a </w:t>
      </w:r>
      <w:r w:rsidR="004078FB">
        <w:t xml:space="preserve">reduction in the policy </w:t>
      </w:r>
      <w:r>
        <w:t xml:space="preserve">rate by </w:t>
      </w:r>
      <w:r w:rsidR="00665DFC">
        <w:t>7</w:t>
      </w:r>
      <w:r>
        <w:t xml:space="preserve"> basis points over the period of the consolidation. There are substantial leakages into </w:t>
      </w:r>
      <w:r w:rsidR="00307DA3">
        <w:t xml:space="preserve">real </w:t>
      </w:r>
      <w:r>
        <w:t>imports which fall by over one percent. This arises since imports of consumption goods compris</w:t>
      </w:r>
      <w:r w:rsidR="004078FB">
        <w:t>e</w:t>
      </w:r>
      <w:r>
        <w:t xml:space="preserve"> 46.2 percent of </w:t>
      </w:r>
      <w:r w:rsidR="008C0088">
        <w:t>the consumption final good. The </w:t>
      </w:r>
      <w:r>
        <w:t xml:space="preserve">result is an improvement in the trade balance </w:t>
      </w:r>
      <w:r w:rsidR="004078FB">
        <w:t>to GDP ratio of approximately</w:t>
      </w:r>
      <w:r>
        <w:t xml:space="preserve"> </w:t>
      </w:r>
      <w:r w:rsidR="00665DFC">
        <w:t>80</w:t>
      </w:r>
      <w:r>
        <w:t xml:space="preserve"> basis points.</w:t>
      </w:r>
    </w:p>
    <w:p w:rsidR="00E96447" w:rsidRDefault="00E96447" w:rsidP="00DD269C">
      <w:pPr>
        <w:autoSpaceDE w:val="0"/>
        <w:autoSpaceDN w:val="0"/>
        <w:adjustRightInd w:val="0"/>
        <w:spacing w:line="264" w:lineRule="auto"/>
      </w:pPr>
    </w:p>
    <w:p w:rsidR="00E96447" w:rsidRDefault="00E96447" w:rsidP="00DD269C">
      <w:pPr>
        <w:autoSpaceDE w:val="0"/>
        <w:autoSpaceDN w:val="0"/>
        <w:adjustRightInd w:val="0"/>
        <w:spacing w:line="264" w:lineRule="auto"/>
      </w:pPr>
      <w:r>
        <w:t>After the initial fall in demand,</w:t>
      </w:r>
      <w:r w:rsidR="00307DA3">
        <w:t xml:space="preserve"> real </w:t>
      </w:r>
      <w:r>
        <w:t>private consumption and investment begin to be crowded in permanently increasing above baseline by 0.15 and 0.0</w:t>
      </w:r>
      <w:r w:rsidR="006C0839">
        <w:t>7</w:t>
      </w:r>
      <w:r>
        <w:t xml:space="preserve"> percent in the long run. </w:t>
      </w:r>
      <w:r w:rsidR="004078FB">
        <w:t xml:space="preserve">Real </w:t>
      </w:r>
      <w:r>
        <w:t xml:space="preserve">GDP returns to baseline after five years, and permanently increases in the long run by </w:t>
      </w:r>
      <w:r w:rsidR="004078FB">
        <w:t>0.</w:t>
      </w:r>
      <w:r w:rsidR="006C0839">
        <w:t xml:space="preserve">05 </w:t>
      </w:r>
      <w:r>
        <w:t>percent. The long run</w:t>
      </w:r>
      <w:r w:rsidR="001B1CAE">
        <w:t xml:space="preserve"> crowding-</w:t>
      </w:r>
      <w:r>
        <w:t xml:space="preserve">in </w:t>
      </w:r>
      <w:r w:rsidR="004078FB">
        <w:t>of private demand comes</w:t>
      </w:r>
      <w:r>
        <w:t xml:space="preserve"> primaril</w:t>
      </w:r>
      <w:r w:rsidR="008C0088">
        <w:t>y from two channels. First, the </w:t>
      </w:r>
      <w:r>
        <w:t xml:space="preserve">reduction in the debt level requires lower </w:t>
      </w:r>
      <w:r w:rsidR="004078FB">
        <w:t xml:space="preserve">tax obligations to service the interest </w:t>
      </w:r>
      <w:r>
        <w:t xml:space="preserve">payments </w:t>
      </w:r>
      <w:r w:rsidR="00DE32D4">
        <w:t>on the lover stock of</w:t>
      </w:r>
      <w:r>
        <w:t xml:space="preserve"> </w:t>
      </w:r>
      <w:r w:rsidR="00DE32D4">
        <w:t>debt</w:t>
      </w:r>
      <w:r>
        <w:t xml:space="preserve">. </w:t>
      </w:r>
      <w:r w:rsidR="00DE32D4">
        <w:t xml:space="preserve"> This results in</w:t>
      </w:r>
      <w:r>
        <w:t xml:space="preserve"> </w:t>
      </w:r>
      <w:r w:rsidR="00DE32D4">
        <w:t xml:space="preserve">a permanent decrease in </w:t>
      </w:r>
      <w:r w:rsidR="0082462A">
        <w:t>labor taxes</w:t>
      </w:r>
      <w:r w:rsidR="008C0088">
        <w:t xml:space="preserve"> improving the </w:t>
      </w:r>
      <w:r>
        <w:t>income of households.</w:t>
      </w:r>
      <w:r w:rsidR="000130CA">
        <w:t xml:space="preserve"> Second, the decrease in the debt level is an increase in </w:t>
      </w:r>
      <w:r w:rsidR="00DE32D4">
        <w:t xml:space="preserve">overall </w:t>
      </w:r>
      <w:r w:rsidR="000130CA">
        <w:t>savings which increases the equilibrium level of the world real interest rate in the long run by a small amount. This amount is less than a basis point</w:t>
      </w:r>
      <w:r w:rsidR="00DE32D4">
        <w:t>,</w:t>
      </w:r>
      <w:r w:rsidR="000130CA">
        <w:t xml:space="preserve"> since the Czech Republic makes up only a small proportion of global savings.</w:t>
      </w:r>
    </w:p>
    <w:p w:rsidR="00E96447" w:rsidRDefault="00E96447" w:rsidP="00DD269C">
      <w:pPr>
        <w:autoSpaceDE w:val="0"/>
        <w:autoSpaceDN w:val="0"/>
        <w:adjustRightInd w:val="0"/>
        <w:spacing w:line="264" w:lineRule="auto"/>
      </w:pPr>
    </w:p>
    <w:p w:rsidR="00E96447" w:rsidRDefault="00E96447" w:rsidP="00DD269C">
      <w:pPr>
        <w:autoSpaceDE w:val="0"/>
        <w:autoSpaceDN w:val="0"/>
        <w:adjustRightInd w:val="0"/>
        <w:spacing w:line="264" w:lineRule="auto"/>
      </w:pPr>
      <w:r>
        <w:t xml:space="preserve">As the results summarized in </w:t>
      </w:r>
      <w:r w:rsidR="00DE32D4">
        <w:t>T</w:t>
      </w:r>
      <w:r>
        <w:t xml:space="preserve">able </w:t>
      </w:r>
      <w:r w:rsidR="008C0088">
        <w:t>A</w:t>
      </w:r>
      <w:r w:rsidR="00DE32D4">
        <w:t>10</w:t>
      </w:r>
      <w:r w:rsidR="00CE13E0">
        <w:t xml:space="preserve"> clearly show,</w:t>
      </w:r>
      <w:r w:rsidR="00DE32D4">
        <w:t xml:space="preserve"> the longer the</w:t>
      </w:r>
      <w:r>
        <w:t xml:space="preserve"> ZIF binds</w:t>
      </w:r>
      <w:r w:rsidR="00DE32D4">
        <w:t>,</w:t>
      </w:r>
      <w:r>
        <w:t xml:space="preserve"> the </w:t>
      </w:r>
      <w:r w:rsidR="00785C69">
        <w:t>larger real GDP falls in</w:t>
      </w:r>
      <w:r>
        <w:t xml:space="preserve"> </w:t>
      </w:r>
      <w:r w:rsidR="00DE32D4">
        <w:t>the short run</w:t>
      </w:r>
      <w:r>
        <w:t xml:space="preserve">. </w:t>
      </w:r>
      <w:r w:rsidR="00DE32D4">
        <w:t>Thi</w:t>
      </w:r>
      <w:r w:rsidR="00665DFC">
        <w:t>s arises s</w:t>
      </w:r>
      <w:r>
        <w:t>ince the monetary authority cannot reduce interest rates when the consolidation reduces inflation</w:t>
      </w:r>
      <w:r w:rsidR="00665DFC">
        <w:t xml:space="preserve"> and so</w:t>
      </w:r>
      <w:r>
        <w:t xml:space="preserve"> there </w:t>
      </w:r>
      <w:r w:rsidR="00EB16A9">
        <w:t>is no offsetting effect</w:t>
      </w:r>
      <w:r>
        <w:t xml:space="preserve"> from a lower real interest rate on demand. </w:t>
      </w:r>
    </w:p>
    <w:p w:rsidR="00785C69" w:rsidRDefault="00785C69" w:rsidP="00DD269C">
      <w:pPr>
        <w:autoSpaceDE w:val="0"/>
        <w:autoSpaceDN w:val="0"/>
        <w:adjustRightInd w:val="0"/>
        <w:spacing w:line="264" w:lineRule="auto"/>
      </w:pPr>
    </w:p>
    <w:p w:rsidR="00E96447" w:rsidRDefault="00E96447" w:rsidP="00DD269C">
      <w:pPr>
        <w:autoSpaceDE w:val="0"/>
        <w:autoSpaceDN w:val="0"/>
        <w:adjustRightInd w:val="0"/>
        <w:spacing w:line="264" w:lineRule="auto"/>
      </w:pPr>
      <w:r>
        <w:t>The results illustrate that</w:t>
      </w:r>
      <w:r w:rsidR="00665DFC">
        <w:t>,</w:t>
      </w:r>
      <w:r>
        <w:t xml:space="preserve"> as the credibility of the fiscal authority improves, </w:t>
      </w:r>
      <w:r w:rsidR="00665DFC">
        <w:t>real GDP will fall by less</w:t>
      </w:r>
      <w:r>
        <w:t xml:space="preserve">. </w:t>
      </w:r>
      <w:r w:rsidR="00665DFC">
        <w:t xml:space="preserve">As soon as </w:t>
      </w:r>
      <w:r>
        <w:t xml:space="preserve">agents </w:t>
      </w:r>
      <w:r w:rsidR="00665DFC">
        <w:t xml:space="preserve">perceive the credible fiscal consolidation, they </w:t>
      </w:r>
      <w:r>
        <w:t xml:space="preserve">become aware of the </w:t>
      </w:r>
      <w:r w:rsidR="00665DFC">
        <w:t xml:space="preserve">lower </w:t>
      </w:r>
      <w:r>
        <w:t xml:space="preserve">labor </w:t>
      </w:r>
      <w:r w:rsidR="00665DFC">
        <w:t>income</w:t>
      </w:r>
      <w:r w:rsidR="005E25CE">
        <w:t xml:space="preserve"> </w:t>
      </w:r>
      <w:r>
        <w:t xml:space="preserve">tax obligations and slightly lower real equilibrium interest rates. </w:t>
      </w:r>
      <w:r w:rsidR="00665DFC">
        <w:t>I</w:t>
      </w:r>
      <w:r>
        <w:t>n particular</w:t>
      </w:r>
      <w:r w:rsidR="00665DFC">
        <w:t>, OLG agents</w:t>
      </w:r>
      <w:r>
        <w:t xml:space="preserve"> </w:t>
      </w:r>
      <w:r w:rsidR="00665DFC">
        <w:t xml:space="preserve">increase their consumption </w:t>
      </w:r>
      <w:r>
        <w:t xml:space="preserve">as soon as credibility is </w:t>
      </w:r>
      <w:r w:rsidR="00665DFC">
        <w:t xml:space="preserve">perceived </w:t>
      </w:r>
      <w:r>
        <w:t>in an effort to enjoy the additional lifetime income</w:t>
      </w:r>
      <w:r w:rsidR="00665DFC">
        <w:t>.</w:t>
      </w:r>
    </w:p>
    <w:p w:rsidR="00E96447" w:rsidRDefault="00E96447" w:rsidP="00DD269C">
      <w:pPr>
        <w:autoSpaceDE w:val="0"/>
        <w:autoSpaceDN w:val="0"/>
        <w:adjustRightInd w:val="0"/>
        <w:spacing w:line="264" w:lineRule="auto"/>
      </w:pPr>
    </w:p>
    <w:p w:rsidR="00E96447" w:rsidRPr="00E5092A" w:rsidRDefault="00665DFC" w:rsidP="00DD269C">
      <w:pPr>
        <w:autoSpaceDE w:val="0"/>
        <w:autoSpaceDN w:val="0"/>
        <w:adjustRightInd w:val="0"/>
        <w:spacing w:line="264" w:lineRule="auto"/>
      </w:pPr>
      <w:r>
        <w:lastRenderedPageBreak/>
        <w:t xml:space="preserve">In </w:t>
      </w:r>
      <w:r w:rsidR="00E96447">
        <w:t>the case whe</w:t>
      </w:r>
      <w:r>
        <w:t>n</w:t>
      </w:r>
      <w:r w:rsidR="00E96447">
        <w:t xml:space="preserve"> the fiscal authority consolidates for only one year</w:t>
      </w:r>
      <w:r w:rsidR="00E96447" w:rsidRPr="00FA4EB0">
        <w:t xml:space="preserve"> </w:t>
      </w:r>
      <w:r w:rsidR="00E96447">
        <w:t xml:space="preserve">and does not </w:t>
      </w:r>
      <w:r w:rsidR="00C50628">
        <w:t xml:space="preserve">have </w:t>
      </w:r>
      <w:r w:rsidR="00E96447">
        <w:t xml:space="preserve">an impact on future debt levels, the costs to </w:t>
      </w:r>
      <w:r w:rsidR="007D1A3B">
        <w:t xml:space="preserve">real </w:t>
      </w:r>
      <w:r w:rsidR="00E96447">
        <w:t xml:space="preserve">GDP in the second and third year may be lower, </w:t>
      </w:r>
      <w:r>
        <w:t xml:space="preserve">but </w:t>
      </w:r>
      <w:r w:rsidR="00E96447">
        <w:t>the long term benefits are not realized.</w:t>
      </w:r>
      <w:r w:rsidR="000130CA" w:rsidDel="000130CA">
        <w:t xml:space="preserve"> </w:t>
      </w:r>
      <w:r w:rsidR="00E96447">
        <w:t xml:space="preserve">Finally, </w:t>
      </w:r>
      <w:r w:rsidR="007D1A3B">
        <w:t xml:space="preserve">in </w:t>
      </w:r>
      <w:r w:rsidR="00E96447">
        <w:t xml:space="preserve">the case </w:t>
      </w:r>
      <w:r w:rsidR="007D1A3B">
        <w:t xml:space="preserve">when </w:t>
      </w:r>
      <w:r w:rsidR="00E96447">
        <w:t>the fiscal authority permanently reduces government consumption expenditure</w:t>
      </w:r>
      <w:r w:rsidR="007D1A3B">
        <w:t>,</w:t>
      </w:r>
      <w:r w:rsidR="00E96447">
        <w:t xml:space="preserve"> the long term benefits are larger. In particular, </w:t>
      </w:r>
      <w:r w:rsidR="007D1A3B">
        <w:t xml:space="preserve">real </w:t>
      </w:r>
      <w:r w:rsidR="00E96447">
        <w:t>GDP in the long run increases by 0.</w:t>
      </w:r>
      <w:r w:rsidR="006C0839">
        <w:t>4</w:t>
      </w:r>
      <w:r w:rsidR="00E96447">
        <w:t xml:space="preserve"> percent, relative to the 0.</w:t>
      </w:r>
      <w:r w:rsidR="006C0839">
        <w:t xml:space="preserve">1 </w:t>
      </w:r>
      <w:r w:rsidR="00E96447">
        <w:t xml:space="preserve">percent in the case of a </w:t>
      </w:r>
      <w:r w:rsidR="00357AA4">
        <w:t>ten-year</w:t>
      </w:r>
      <w:r w:rsidR="00E96447">
        <w:t xml:space="preserve"> consolidation. It takes slightly more time for </w:t>
      </w:r>
      <w:r w:rsidR="007D1A3B">
        <w:t xml:space="preserve">real </w:t>
      </w:r>
      <w:r w:rsidR="00E96447">
        <w:t xml:space="preserve">GDP to return to baseline in the short run since demand falls throughout the </w:t>
      </w:r>
      <w:r w:rsidR="007D1A3B">
        <w:t>full</w:t>
      </w:r>
      <w:r w:rsidR="001B0D8B">
        <w:t xml:space="preserve"> planning horizon</w:t>
      </w:r>
      <w:r w:rsidR="00E96447">
        <w:t xml:space="preserve"> of households, so the observed increase in income takes longer to obtain. </w:t>
      </w:r>
    </w:p>
    <w:p w:rsidR="00E96447" w:rsidRPr="00716214" w:rsidRDefault="00E96447" w:rsidP="00DD269C">
      <w:pPr>
        <w:autoSpaceDE w:val="0"/>
        <w:autoSpaceDN w:val="0"/>
        <w:adjustRightInd w:val="0"/>
        <w:spacing w:line="264" w:lineRule="auto"/>
        <w:rPr>
          <w:b/>
        </w:rPr>
      </w:pPr>
    </w:p>
    <w:p w:rsidR="00E96447" w:rsidRDefault="00E96447" w:rsidP="00DD269C">
      <w:pPr>
        <w:autoSpaceDE w:val="0"/>
        <w:autoSpaceDN w:val="0"/>
        <w:adjustRightInd w:val="0"/>
        <w:spacing w:line="264" w:lineRule="auto"/>
        <w:rPr>
          <w:b/>
        </w:rPr>
      </w:pPr>
      <w:r w:rsidRPr="00716214">
        <w:rPr>
          <w:b/>
        </w:rPr>
        <w:t>Government Investment Expenditure</w:t>
      </w:r>
      <w:r>
        <w:rPr>
          <w:b/>
        </w:rPr>
        <w:t xml:space="preserve"> </w:t>
      </w:r>
    </w:p>
    <w:p w:rsidR="00E96447" w:rsidRDefault="00E96447" w:rsidP="00DD269C">
      <w:pPr>
        <w:autoSpaceDE w:val="0"/>
        <w:autoSpaceDN w:val="0"/>
        <w:adjustRightInd w:val="0"/>
        <w:spacing w:line="264" w:lineRule="auto"/>
        <w:rPr>
          <w:b/>
        </w:rPr>
      </w:pPr>
    </w:p>
    <w:p w:rsidR="006134EF" w:rsidRDefault="00E96447" w:rsidP="00DD269C">
      <w:pPr>
        <w:autoSpaceDE w:val="0"/>
        <w:autoSpaceDN w:val="0"/>
        <w:adjustRightInd w:val="0"/>
        <w:spacing w:line="264" w:lineRule="auto"/>
      </w:pPr>
      <w:r>
        <w:t xml:space="preserve">Like consumption expenditure, fiscal consolidation </w:t>
      </w:r>
      <w:r w:rsidRPr="00E5092A">
        <w:t xml:space="preserve">with government </w:t>
      </w:r>
      <w:r>
        <w:t>investment</w:t>
      </w:r>
      <w:r w:rsidRPr="00E5092A">
        <w:t xml:space="preserve"> expenditure</w:t>
      </w:r>
      <w:r>
        <w:t xml:space="preserve"> has a direct impact on aggregate demand.</w:t>
      </w:r>
      <w:r w:rsidRPr="009645C3">
        <w:t xml:space="preserve"> </w:t>
      </w:r>
      <w:r w:rsidRPr="00B26890">
        <w:t xml:space="preserve">For a case of a </w:t>
      </w:r>
      <w:r w:rsidR="00357AA4">
        <w:t>ten-year</w:t>
      </w:r>
      <w:r w:rsidRPr="00B26890">
        <w:t xml:space="preserve"> </w:t>
      </w:r>
      <w:r>
        <w:t xml:space="preserve">consolidation, </w:t>
      </w:r>
      <w:r w:rsidR="007D1A3B">
        <w:t xml:space="preserve">credible after one year, see </w:t>
      </w:r>
      <w:r w:rsidR="007D1A3B">
        <w:rPr>
          <w:noProof/>
        </w:rPr>
        <w:t xml:space="preserve">Figure </w:t>
      </w:r>
      <w:r w:rsidR="008C0088">
        <w:rPr>
          <w:noProof/>
        </w:rPr>
        <w:t>A</w:t>
      </w:r>
      <w:r w:rsidR="007D1A3B">
        <w:rPr>
          <w:noProof/>
        </w:rPr>
        <w:t>2</w:t>
      </w:r>
      <w:r w:rsidR="007D1A3B" w:rsidRPr="00B26890">
        <w:t xml:space="preserve">, </w:t>
      </w:r>
      <w:r w:rsidR="007D1A3B">
        <w:t xml:space="preserve">real </w:t>
      </w:r>
      <w:r w:rsidR="007D1A3B" w:rsidRPr="00B26890">
        <w:t>GDP</w:t>
      </w:r>
      <w:r w:rsidR="007D1A3B" w:rsidDel="007D1A3B">
        <w:t xml:space="preserve"> </w:t>
      </w:r>
      <w:r>
        <w:t>falls by</w:t>
      </w:r>
      <w:r w:rsidRPr="00B26890">
        <w:t xml:space="preserve"> 0.4</w:t>
      </w:r>
      <w:r>
        <w:t xml:space="preserve"> percent</w:t>
      </w:r>
      <w:r w:rsidRPr="00B26890">
        <w:t xml:space="preserve"> in the first year.</w:t>
      </w:r>
      <w:r>
        <w:t xml:space="preserve"> </w:t>
      </w:r>
      <w:r w:rsidR="007D1A3B">
        <w:t xml:space="preserve">The decrease in public investment expenditure </w:t>
      </w:r>
      <w:r>
        <w:t xml:space="preserve">results in a reduction in the </w:t>
      </w:r>
      <w:r w:rsidR="007D1A3B">
        <w:t xml:space="preserve">stock </w:t>
      </w:r>
      <w:r>
        <w:t xml:space="preserve">of public capital </w:t>
      </w:r>
      <w:r w:rsidR="007D1A3B">
        <w:t xml:space="preserve">and </w:t>
      </w:r>
      <w:r>
        <w:t>reduc</w:t>
      </w:r>
      <w:r w:rsidR="007D1A3B">
        <w:t>es the</w:t>
      </w:r>
      <w:r>
        <w:t xml:space="preserve"> productivity in the production of final goods</w:t>
      </w:r>
      <w:r w:rsidR="007D1A3B">
        <w:t>. This</w:t>
      </w:r>
      <w:r>
        <w:t xml:space="preserve"> results in a gradual fall in </w:t>
      </w:r>
      <w:r w:rsidR="007D1A3B">
        <w:t xml:space="preserve">real </w:t>
      </w:r>
      <w:r>
        <w:t xml:space="preserve">GDP </w:t>
      </w:r>
      <w:r w:rsidR="007D1A3B">
        <w:t>to -</w:t>
      </w:r>
      <w:r>
        <w:t xml:space="preserve">1.2 percent after twelve years. </w:t>
      </w:r>
      <w:r w:rsidR="007D1A3B">
        <w:t xml:space="preserve">The impact on real GDP </w:t>
      </w:r>
      <w:r w:rsidR="006C0839">
        <w:t xml:space="preserve">is very persistent but </w:t>
      </w:r>
      <w:r>
        <w:t xml:space="preserve">reverses after the consolidation as the </w:t>
      </w:r>
      <w:r w:rsidR="005E25CE">
        <w:t xml:space="preserve">stock </w:t>
      </w:r>
      <w:r>
        <w:t xml:space="preserve">of public capital begins to accumulate </w:t>
      </w:r>
      <w:r w:rsidR="007D1A3B">
        <w:t xml:space="preserve">back </w:t>
      </w:r>
      <w:r>
        <w:t xml:space="preserve">to baseline levels. </w:t>
      </w:r>
    </w:p>
    <w:p w:rsidR="00E96447" w:rsidRDefault="00E96447" w:rsidP="00DD269C">
      <w:pPr>
        <w:autoSpaceDE w:val="0"/>
        <w:autoSpaceDN w:val="0"/>
        <w:adjustRightInd w:val="0"/>
        <w:spacing w:line="264" w:lineRule="auto"/>
      </w:pPr>
      <w:r>
        <w:t xml:space="preserve"> </w:t>
      </w:r>
    </w:p>
    <w:p w:rsidR="00E96447" w:rsidRDefault="00E96447" w:rsidP="00DD269C">
      <w:pPr>
        <w:autoSpaceDE w:val="0"/>
        <w:autoSpaceDN w:val="0"/>
        <w:adjustRightInd w:val="0"/>
        <w:spacing w:line="264" w:lineRule="auto"/>
      </w:pPr>
      <w:r>
        <w:t>The reduction in demand</w:t>
      </w:r>
      <w:r w:rsidR="007D1A3B">
        <w:t xml:space="preserve"> for investment goods</w:t>
      </w:r>
      <w:r>
        <w:t xml:space="preserve"> and </w:t>
      </w:r>
      <w:r w:rsidR="007D1A3B">
        <w:t>lower productivity levels</w:t>
      </w:r>
      <w:r>
        <w:t xml:space="preserve"> reduces incomes </w:t>
      </w:r>
      <w:r w:rsidR="007D1A3B">
        <w:t xml:space="preserve">and </w:t>
      </w:r>
      <w:r>
        <w:t>contribut</w:t>
      </w:r>
      <w:r w:rsidR="007D1A3B">
        <w:t>es</w:t>
      </w:r>
      <w:r>
        <w:t xml:space="preserve"> to a fall of </w:t>
      </w:r>
      <w:r w:rsidR="00307DA3">
        <w:t xml:space="preserve">real </w:t>
      </w:r>
      <w:r>
        <w:t xml:space="preserve">consumption and investment by </w:t>
      </w:r>
      <w:r w:rsidR="007D1A3B">
        <w:t xml:space="preserve">-0.5 percent in </w:t>
      </w:r>
      <w:r w:rsidR="008C0088">
        <w:t>the </w:t>
      </w:r>
      <w:r w:rsidR="006C0839">
        <w:t xml:space="preserve">second </w:t>
      </w:r>
      <w:r>
        <w:t xml:space="preserve">year. </w:t>
      </w:r>
      <w:r w:rsidR="006C0839">
        <w:t xml:space="preserve"> </w:t>
      </w:r>
      <w:r>
        <w:t xml:space="preserve">Inflation falls </w:t>
      </w:r>
      <w:r w:rsidR="007D1A3B">
        <w:t xml:space="preserve">persistently </w:t>
      </w:r>
      <w:r>
        <w:t xml:space="preserve">by </w:t>
      </w:r>
      <w:r w:rsidR="006C0839">
        <w:t>10</w:t>
      </w:r>
      <w:r w:rsidR="007D1A3B">
        <w:t xml:space="preserve"> </w:t>
      </w:r>
      <w:r>
        <w:t>basis points</w:t>
      </w:r>
      <w:r w:rsidR="008C0088">
        <w:t>, and after the one year at the </w:t>
      </w:r>
      <w:r>
        <w:t xml:space="preserve">ZIF, the CNB responds to cut rates by </w:t>
      </w:r>
      <w:r w:rsidR="006C0839">
        <w:t>20</w:t>
      </w:r>
      <w:r w:rsidR="00767AE3">
        <w:t xml:space="preserve"> </w:t>
      </w:r>
      <w:r>
        <w:t>basi</w:t>
      </w:r>
      <w:r w:rsidR="008C0088">
        <w:t>s points over the period of the </w:t>
      </w:r>
      <w:r>
        <w:t xml:space="preserve">consolidation. There are substantial leakages into </w:t>
      </w:r>
      <w:r w:rsidR="00307DA3">
        <w:t xml:space="preserve">real </w:t>
      </w:r>
      <w:r>
        <w:t xml:space="preserve">imports. This arises since imports of </w:t>
      </w:r>
      <w:r w:rsidR="00767AE3">
        <w:t xml:space="preserve">investment </w:t>
      </w:r>
      <w:r>
        <w:t>goods compris</w:t>
      </w:r>
      <w:r w:rsidR="00767AE3">
        <w:t>e</w:t>
      </w:r>
      <w:r w:rsidR="00D17A2C">
        <w:t xml:space="preserve"> </w:t>
      </w:r>
      <w:r>
        <w:t>62 percent of the final investment final good. Th</w:t>
      </w:r>
      <w:r w:rsidR="00767AE3">
        <w:t>is results in</w:t>
      </w:r>
      <w:r w:rsidR="008C0088">
        <w:t xml:space="preserve"> an </w:t>
      </w:r>
      <w:r>
        <w:t xml:space="preserve">improvement in the trade balance </w:t>
      </w:r>
      <w:r w:rsidR="00767AE3">
        <w:t>to GDP ratio of</w:t>
      </w:r>
      <w:r>
        <w:t xml:space="preserve"> approximately 80 basis points.</w:t>
      </w:r>
    </w:p>
    <w:p w:rsidR="00E96447" w:rsidRDefault="00E96447" w:rsidP="00DD269C">
      <w:pPr>
        <w:autoSpaceDE w:val="0"/>
        <w:autoSpaceDN w:val="0"/>
        <w:adjustRightInd w:val="0"/>
        <w:spacing w:line="264" w:lineRule="auto"/>
      </w:pPr>
    </w:p>
    <w:p w:rsidR="00E96447" w:rsidRDefault="00F356E8" w:rsidP="00DD269C">
      <w:pPr>
        <w:autoSpaceDE w:val="0"/>
        <w:autoSpaceDN w:val="0"/>
        <w:adjustRightInd w:val="0"/>
        <w:spacing w:line="264" w:lineRule="auto"/>
      </w:pPr>
      <w:r>
        <w:t>The impact of c</w:t>
      </w:r>
      <w:r w:rsidR="00E96447">
        <w:t xml:space="preserve">redibility </w:t>
      </w:r>
      <w:r w:rsidR="00767AE3">
        <w:t xml:space="preserve">for the case of </w:t>
      </w:r>
      <w:r w:rsidR="00E96447">
        <w:t xml:space="preserve">consolidation with investment expenditure </w:t>
      </w:r>
      <w:r>
        <w:t>is different than in the case of consolidation via government consumption</w:t>
      </w:r>
      <w:r w:rsidR="00767AE3" w:rsidRPr="00767AE3">
        <w:t xml:space="preserve"> </w:t>
      </w:r>
      <w:r w:rsidR="00767AE3">
        <w:t>expenditure</w:t>
      </w:r>
      <w:r>
        <w:t xml:space="preserve">, </w:t>
      </w:r>
      <w:r w:rsidR="00E96447">
        <w:t xml:space="preserve">since agents perceive that the reduction in the </w:t>
      </w:r>
      <w:r w:rsidR="00C50628">
        <w:t>long-run</w:t>
      </w:r>
      <w:r w:rsidR="00D569C7">
        <w:t xml:space="preserve"> public capital st</w:t>
      </w:r>
      <w:r w:rsidR="00E96447">
        <w:t xml:space="preserve">ocks will reduce their future income. This particularly stands out for the case where the consolidation is credible </w:t>
      </w:r>
      <w:r w:rsidR="006C0839">
        <w:t xml:space="preserve">in year one and the </w:t>
      </w:r>
      <w:r w:rsidR="00E96447">
        <w:t>ZIF</w:t>
      </w:r>
      <w:r w:rsidR="006C0839">
        <w:t xml:space="preserve"> binds for two years</w:t>
      </w:r>
      <w:r w:rsidR="00E96447">
        <w:t xml:space="preserve"> </w:t>
      </w:r>
      <w:r w:rsidR="006C0839">
        <w:t>as</w:t>
      </w:r>
      <w:r w:rsidR="00E96447">
        <w:t xml:space="preserve"> the perceived reduction in future productivity result in a multiplier of </w:t>
      </w:r>
      <w:r w:rsidR="00767AE3">
        <w:t>0.</w:t>
      </w:r>
      <w:r w:rsidR="006C0839">
        <w:t xml:space="preserve">83 </w:t>
      </w:r>
      <w:r w:rsidR="00E96447">
        <w:t>in the first year.</w:t>
      </w:r>
    </w:p>
    <w:p w:rsidR="00E96447" w:rsidRDefault="00E96447" w:rsidP="00DD269C">
      <w:pPr>
        <w:autoSpaceDE w:val="0"/>
        <w:autoSpaceDN w:val="0"/>
        <w:adjustRightInd w:val="0"/>
        <w:spacing w:line="264" w:lineRule="auto"/>
      </w:pPr>
    </w:p>
    <w:p w:rsidR="00E96447" w:rsidRPr="00E5092A" w:rsidRDefault="00E96447" w:rsidP="00DD269C">
      <w:pPr>
        <w:autoSpaceDE w:val="0"/>
        <w:autoSpaceDN w:val="0"/>
        <w:adjustRightInd w:val="0"/>
        <w:spacing w:line="264" w:lineRule="auto"/>
      </w:pPr>
      <w:r>
        <w:t xml:space="preserve">The </w:t>
      </w:r>
      <w:r w:rsidR="00357AA4">
        <w:t>one-year</w:t>
      </w:r>
      <w:r w:rsidRPr="00FA4EB0">
        <w:t xml:space="preserve"> </w:t>
      </w:r>
      <w:r>
        <w:t xml:space="preserve">consolidation does not have an impact on future debt levels and has a small impact on the stock of public capital relative to longer consolidations. </w:t>
      </w:r>
      <w:r w:rsidR="00577210">
        <w:t>However, w</w:t>
      </w:r>
      <w:r>
        <w:t>hen the fiscal authority permanently reduces government investment expenditure</w:t>
      </w:r>
      <w:r w:rsidR="00577210">
        <w:t>,</w:t>
      </w:r>
      <w:r>
        <w:t xml:space="preserve"> the </w:t>
      </w:r>
      <w:r w:rsidR="00C50628">
        <w:t>long-run</w:t>
      </w:r>
      <w:r>
        <w:t xml:space="preserve"> costs of the lower public capital stock are obvious with </w:t>
      </w:r>
      <w:r w:rsidR="00577210">
        <w:t xml:space="preserve">real </w:t>
      </w:r>
      <w:r>
        <w:t xml:space="preserve">GDP falling by </w:t>
      </w:r>
      <w:r w:rsidR="006C0839">
        <w:t>2.7</w:t>
      </w:r>
      <w:r>
        <w:t xml:space="preserve"> percent</w:t>
      </w:r>
      <w:r w:rsidR="00577210">
        <w:t xml:space="preserve"> in the long run</w:t>
      </w:r>
      <w:r>
        <w:t xml:space="preserve">.  </w:t>
      </w:r>
    </w:p>
    <w:p w:rsidR="00E96447" w:rsidRPr="00716214" w:rsidRDefault="00E96447" w:rsidP="00DD269C">
      <w:pPr>
        <w:autoSpaceDE w:val="0"/>
        <w:autoSpaceDN w:val="0"/>
        <w:adjustRightInd w:val="0"/>
        <w:spacing w:line="264" w:lineRule="auto"/>
        <w:rPr>
          <w:b/>
        </w:rPr>
      </w:pPr>
    </w:p>
    <w:p w:rsidR="00785C69" w:rsidRDefault="00785C69" w:rsidP="00DD269C">
      <w:pPr>
        <w:autoSpaceDE w:val="0"/>
        <w:autoSpaceDN w:val="0"/>
        <w:adjustRightInd w:val="0"/>
        <w:spacing w:line="264" w:lineRule="auto"/>
        <w:rPr>
          <w:b/>
        </w:rPr>
      </w:pPr>
    </w:p>
    <w:p w:rsidR="002145B7" w:rsidRDefault="002145B7" w:rsidP="00DD269C">
      <w:pPr>
        <w:autoSpaceDE w:val="0"/>
        <w:autoSpaceDN w:val="0"/>
        <w:adjustRightInd w:val="0"/>
        <w:spacing w:line="264" w:lineRule="auto"/>
        <w:rPr>
          <w:b/>
        </w:rPr>
      </w:pPr>
    </w:p>
    <w:p w:rsidR="00E96447" w:rsidRDefault="00E96447" w:rsidP="00DD269C">
      <w:pPr>
        <w:autoSpaceDE w:val="0"/>
        <w:autoSpaceDN w:val="0"/>
        <w:adjustRightInd w:val="0"/>
        <w:spacing w:line="264" w:lineRule="auto"/>
        <w:rPr>
          <w:b/>
        </w:rPr>
      </w:pPr>
      <w:r>
        <w:rPr>
          <w:b/>
        </w:rPr>
        <w:lastRenderedPageBreak/>
        <w:t>General Transfers</w:t>
      </w:r>
    </w:p>
    <w:p w:rsidR="00E96447" w:rsidRDefault="00E96447" w:rsidP="00DD269C">
      <w:pPr>
        <w:autoSpaceDE w:val="0"/>
        <w:autoSpaceDN w:val="0"/>
        <w:adjustRightInd w:val="0"/>
        <w:spacing w:line="264" w:lineRule="auto"/>
        <w:rPr>
          <w:b/>
        </w:rPr>
      </w:pPr>
    </w:p>
    <w:p w:rsidR="00E96447" w:rsidRDefault="00E96447" w:rsidP="00DD269C">
      <w:pPr>
        <w:autoSpaceDE w:val="0"/>
        <w:autoSpaceDN w:val="0"/>
        <w:adjustRightInd w:val="0"/>
        <w:spacing w:line="264" w:lineRule="auto"/>
      </w:pPr>
      <w:r>
        <w:t xml:space="preserve">Unlike government expenditure, fiscal consolidation </w:t>
      </w:r>
      <w:r w:rsidRPr="00E5092A">
        <w:t xml:space="preserve">with </w:t>
      </w:r>
      <w:r>
        <w:t>general transfers does not have a direct impact on aggregate demand.</w:t>
      </w:r>
      <w:r w:rsidRPr="009645C3">
        <w:t xml:space="preserve"> </w:t>
      </w:r>
      <w:r>
        <w:t xml:space="preserve">As the government decreases transfers </w:t>
      </w:r>
      <w:r w:rsidR="00C51142">
        <w:t>to</w:t>
      </w:r>
      <w:r>
        <w:t xml:space="preserve"> households, OLG agents can respond by borrowing </w:t>
      </w:r>
      <w:r w:rsidRPr="008C652E">
        <w:t>in</w:t>
      </w:r>
      <w:r>
        <w:t xml:space="preserve"> the short run to finance their expenditure, which they prefer to smooth. The impact on LIQ agents is more pronounced since </w:t>
      </w:r>
      <w:r w:rsidR="00577210">
        <w:t xml:space="preserve">the reduction in transfers to these agents </w:t>
      </w:r>
      <w:r>
        <w:t xml:space="preserve">reduces their consumption immediately by a similar degree to their loss in income. However, since LIQ agents </w:t>
      </w:r>
      <w:r w:rsidR="00C51142">
        <w:t xml:space="preserve">account for </w:t>
      </w:r>
      <w:r>
        <w:t>only a small share in overall consumption of the economy</w:t>
      </w:r>
      <w:r w:rsidR="00C51142">
        <w:t>,</w:t>
      </w:r>
      <w:r>
        <w:t xml:space="preserve"> the fall is not large. </w:t>
      </w:r>
    </w:p>
    <w:p w:rsidR="00E96447" w:rsidRDefault="00E96447" w:rsidP="00DD269C">
      <w:pPr>
        <w:autoSpaceDE w:val="0"/>
        <w:autoSpaceDN w:val="0"/>
        <w:adjustRightInd w:val="0"/>
        <w:spacing w:line="264" w:lineRule="auto"/>
      </w:pPr>
    </w:p>
    <w:p w:rsidR="00E96447" w:rsidRDefault="00E96447" w:rsidP="00DD269C">
      <w:pPr>
        <w:autoSpaceDE w:val="0"/>
        <w:autoSpaceDN w:val="0"/>
        <w:adjustRightInd w:val="0"/>
        <w:spacing w:line="264" w:lineRule="auto"/>
      </w:pPr>
      <w:r w:rsidRPr="00B26890">
        <w:t xml:space="preserve">For </w:t>
      </w:r>
      <w:r>
        <w:t>the</w:t>
      </w:r>
      <w:r w:rsidRPr="00B26890">
        <w:t xml:space="preserve"> case of a </w:t>
      </w:r>
      <w:r w:rsidR="00357AA4">
        <w:t>ten-year</w:t>
      </w:r>
      <w:r w:rsidRPr="00B26890">
        <w:t xml:space="preserve"> </w:t>
      </w:r>
      <w:r>
        <w:t xml:space="preserve">consolidation, </w:t>
      </w:r>
      <w:r w:rsidR="00577210">
        <w:t xml:space="preserve">credible after one year, see </w:t>
      </w:r>
      <w:r w:rsidR="008C0088">
        <w:rPr>
          <w:noProof/>
        </w:rPr>
        <w:t>Figure A</w:t>
      </w:r>
      <w:r w:rsidR="00577210">
        <w:rPr>
          <w:noProof/>
        </w:rPr>
        <w:t>3</w:t>
      </w:r>
      <w:r w:rsidR="00577210" w:rsidRPr="00B26890">
        <w:t xml:space="preserve">, </w:t>
      </w:r>
      <w:r w:rsidR="00577210">
        <w:t xml:space="preserve">real </w:t>
      </w:r>
      <w:r w:rsidR="00577210" w:rsidRPr="00B26890">
        <w:t>GDP</w:t>
      </w:r>
      <w:r w:rsidR="00577210" w:rsidDel="007D1A3B">
        <w:t xml:space="preserve"> </w:t>
      </w:r>
      <w:r>
        <w:t>falls by</w:t>
      </w:r>
      <w:r w:rsidRPr="00B26890">
        <w:t xml:space="preserve"> 0.</w:t>
      </w:r>
      <w:r>
        <w:t>07 percent</w:t>
      </w:r>
      <w:r w:rsidRPr="00B26890">
        <w:t xml:space="preserve"> in the first year.</w:t>
      </w:r>
      <w:r>
        <w:t xml:space="preserve"> This primarily comes from an improvement in the trade balance </w:t>
      </w:r>
      <w:r w:rsidR="00577210">
        <w:t xml:space="preserve">to GDP ratio </w:t>
      </w:r>
      <w:r>
        <w:t xml:space="preserve">which peaks at 0.5 percentage points after five years. The fall in </w:t>
      </w:r>
      <w:r w:rsidR="00307DA3">
        <w:t xml:space="preserve">real </w:t>
      </w:r>
      <w:r>
        <w:t>consumption is pronounced</w:t>
      </w:r>
      <w:r w:rsidR="00577210">
        <w:t>,</w:t>
      </w:r>
      <w:r>
        <w:t xml:space="preserve"> falling by 1.</w:t>
      </w:r>
      <w:r w:rsidR="006C0839">
        <w:t xml:space="preserve">3 </w:t>
      </w:r>
      <w:r>
        <w:t xml:space="preserve">percent by the third year. There is a small reduction in </w:t>
      </w:r>
      <w:r w:rsidR="00307DA3">
        <w:t xml:space="preserve">real </w:t>
      </w:r>
      <w:r>
        <w:t xml:space="preserve">investment of 0.07 percent by the second year which returns to baseline by year eight. </w:t>
      </w:r>
      <w:r w:rsidR="00577210">
        <w:t xml:space="preserve">The reduction in demand reduces inflation by </w:t>
      </w:r>
      <w:r w:rsidR="006C0839">
        <w:t xml:space="preserve">1.5 </w:t>
      </w:r>
      <w:r w:rsidR="00577210">
        <w:t xml:space="preserve">basis points persistently, and after the one year at the ZIF, the CNB responds to cut rates by approximately </w:t>
      </w:r>
      <w:r w:rsidR="006C0839">
        <w:t xml:space="preserve">4 </w:t>
      </w:r>
      <w:r w:rsidR="00577210">
        <w:t xml:space="preserve">basis points over the period of the consolidation. </w:t>
      </w:r>
      <w:r>
        <w:t>In the long run</w:t>
      </w:r>
      <w:r w:rsidR="00FF582E">
        <w:t>,</w:t>
      </w:r>
      <w:r>
        <w:t xml:space="preserve"> </w:t>
      </w:r>
      <w:r w:rsidR="00577210">
        <w:t xml:space="preserve">real </w:t>
      </w:r>
      <w:r>
        <w:t>GDP permanently increases by 0.</w:t>
      </w:r>
      <w:r w:rsidR="008C0088">
        <w:t>05 </w:t>
      </w:r>
      <w:r>
        <w:t xml:space="preserve">percent. </w:t>
      </w:r>
    </w:p>
    <w:p w:rsidR="00E96447" w:rsidRDefault="00E96447" w:rsidP="00DD269C">
      <w:pPr>
        <w:autoSpaceDE w:val="0"/>
        <w:autoSpaceDN w:val="0"/>
        <w:adjustRightInd w:val="0"/>
        <w:spacing w:line="264" w:lineRule="auto"/>
      </w:pPr>
    </w:p>
    <w:p w:rsidR="00577210" w:rsidRDefault="00577210" w:rsidP="00577210">
      <w:pPr>
        <w:autoSpaceDE w:val="0"/>
        <w:autoSpaceDN w:val="0"/>
        <w:adjustRightInd w:val="0"/>
        <w:spacing w:line="264" w:lineRule="auto"/>
      </w:pPr>
      <w:r>
        <w:t>Credibility plays a similar role as consolidation with g</w:t>
      </w:r>
      <w:r w:rsidR="008C0088">
        <w:t>overnment consumption where the </w:t>
      </w:r>
      <w:r>
        <w:t xml:space="preserve">sooner credibility is perceived the faster the long term benefits of consolidation are observed. </w:t>
      </w:r>
    </w:p>
    <w:p w:rsidR="00E96447" w:rsidRPr="00E5092A" w:rsidRDefault="00577210" w:rsidP="00DD269C">
      <w:pPr>
        <w:autoSpaceDE w:val="0"/>
        <w:autoSpaceDN w:val="0"/>
        <w:adjustRightInd w:val="0"/>
        <w:spacing w:line="264" w:lineRule="auto"/>
      </w:pPr>
      <w:r>
        <w:t>For a temporary consolidation OLG households borrow to smooth their consumption such that</w:t>
      </w:r>
      <w:r w:rsidR="00307DA3">
        <w:t xml:space="preserve"> </w:t>
      </w:r>
      <w:r>
        <w:t xml:space="preserve">there is only a small decrease in real GDP in the first year. </w:t>
      </w:r>
      <w:r w:rsidR="00E96447">
        <w:t xml:space="preserve">For a permanent reduction in general transfers, </w:t>
      </w:r>
      <w:r>
        <w:t xml:space="preserve">real </w:t>
      </w:r>
      <w:r w:rsidR="00E96447">
        <w:t xml:space="preserve">GDP </w:t>
      </w:r>
      <w:r>
        <w:t xml:space="preserve">in the long run </w:t>
      </w:r>
      <w:r w:rsidR="00E96447">
        <w:t>increases by 0.</w:t>
      </w:r>
      <w:r w:rsidR="006C0839">
        <w:t xml:space="preserve">53 </w:t>
      </w:r>
      <w:r w:rsidR="00E96447">
        <w:t xml:space="preserve">percent </w:t>
      </w:r>
      <w:r w:rsidR="00307DA3">
        <w:t>since there are larger benefits from the lower debt stock</w:t>
      </w:r>
      <w:r w:rsidR="00E96447">
        <w:t xml:space="preserve">. </w:t>
      </w:r>
    </w:p>
    <w:p w:rsidR="00193ACB" w:rsidRDefault="00193ACB" w:rsidP="00DD269C">
      <w:pPr>
        <w:autoSpaceDE w:val="0"/>
        <w:autoSpaceDN w:val="0"/>
        <w:adjustRightInd w:val="0"/>
        <w:spacing w:line="264" w:lineRule="auto"/>
        <w:rPr>
          <w:b/>
        </w:rPr>
      </w:pPr>
    </w:p>
    <w:p w:rsidR="00E96447" w:rsidRDefault="00E96447" w:rsidP="00DD269C">
      <w:pPr>
        <w:autoSpaceDE w:val="0"/>
        <w:autoSpaceDN w:val="0"/>
        <w:adjustRightInd w:val="0"/>
        <w:spacing w:line="264" w:lineRule="auto"/>
        <w:rPr>
          <w:b/>
        </w:rPr>
      </w:pPr>
      <w:r>
        <w:rPr>
          <w:b/>
        </w:rPr>
        <w:t>Targeted Transfers</w:t>
      </w:r>
    </w:p>
    <w:p w:rsidR="00E96447" w:rsidRDefault="00E96447" w:rsidP="00DD269C">
      <w:pPr>
        <w:autoSpaceDE w:val="0"/>
        <w:autoSpaceDN w:val="0"/>
        <w:adjustRightInd w:val="0"/>
        <w:spacing w:line="264" w:lineRule="auto"/>
        <w:rPr>
          <w:b/>
        </w:rPr>
      </w:pPr>
    </w:p>
    <w:p w:rsidR="00CE13E0" w:rsidRDefault="00E96447" w:rsidP="00DD269C">
      <w:pPr>
        <w:autoSpaceDE w:val="0"/>
        <w:autoSpaceDN w:val="0"/>
        <w:adjustRightInd w:val="0"/>
        <w:spacing w:line="264" w:lineRule="auto"/>
      </w:pPr>
      <w:r>
        <w:t xml:space="preserve">Fiscal consolidation </w:t>
      </w:r>
      <w:r w:rsidRPr="00E5092A">
        <w:t xml:space="preserve">with </w:t>
      </w:r>
      <w:r>
        <w:t xml:space="preserve">targeted transfers </w:t>
      </w:r>
      <w:r w:rsidR="00307DA3">
        <w:t>has an almost</w:t>
      </w:r>
      <w:r>
        <w:t xml:space="preserve"> direct impact on aggregate demand </w:t>
      </w:r>
      <w:r w:rsidR="00307DA3">
        <w:t>by</w:t>
      </w:r>
      <w:r>
        <w:t xml:space="preserve"> directly </w:t>
      </w:r>
      <w:r w:rsidR="00FA67F7">
        <w:t xml:space="preserve">reducing </w:t>
      </w:r>
      <w:r>
        <w:t xml:space="preserve">the income of </w:t>
      </w:r>
      <w:r w:rsidR="00357AA4">
        <w:t>liquidity-constrained</w:t>
      </w:r>
      <w:r>
        <w:t xml:space="preserve"> households.</w:t>
      </w:r>
      <w:r w:rsidRPr="009645C3">
        <w:t xml:space="preserve"> </w:t>
      </w:r>
      <w:r>
        <w:t xml:space="preserve">LIQ agents </w:t>
      </w:r>
      <w:r w:rsidR="00307DA3">
        <w:t xml:space="preserve">reduce </w:t>
      </w:r>
      <w:r>
        <w:t xml:space="preserve">their consumption </w:t>
      </w:r>
      <w:r w:rsidR="00307DA3">
        <w:t>expenditure in each period</w:t>
      </w:r>
      <w:r>
        <w:t xml:space="preserve"> </w:t>
      </w:r>
      <w:r w:rsidR="00307DA3">
        <w:t>identical to their loss</w:t>
      </w:r>
      <w:r>
        <w:t xml:space="preserve"> </w:t>
      </w:r>
      <w:r w:rsidR="00307DA3">
        <w:t xml:space="preserve">of </w:t>
      </w:r>
      <w:r>
        <w:t xml:space="preserve">income. The result is </w:t>
      </w:r>
      <w:r w:rsidR="0061798D">
        <w:t>a considerably larger</w:t>
      </w:r>
      <w:r>
        <w:t xml:space="preserve"> fall in consumption than </w:t>
      </w:r>
      <w:r w:rsidR="00307DA3">
        <w:t xml:space="preserve">in </w:t>
      </w:r>
      <w:r>
        <w:t xml:space="preserve">the case of </w:t>
      </w:r>
      <w:r w:rsidR="00307DA3">
        <w:t xml:space="preserve">a consolidation with </w:t>
      </w:r>
      <w:r>
        <w:t>general transfer</w:t>
      </w:r>
      <w:r w:rsidR="00307DA3">
        <w:t>s</w:t>
      </w:r>
      <w:r w:rsidR="00FA67F7">
        <w:t xml:space="preserve">. Real private consumption </w:t>
      </w:r>
      <w:r>
        <w:t xml:space="preserve">falls by </w:t>
      </w:r>
      <w:r w:rsidR="00307DA3">
        <w:t xml:space="preserve">over </w:t>
      </w:r>
      <w:r>
        <w:t xml:space="preserve">2 percent. This comes almost entirely from the consumption of </w:t>
      </w:r>
      <w:r w:rsidR="00357AA4">
        <w:t>liquidity-constrained</w:t>
      </w:r>
      <w:r>
        <w:t xml:space="preserve"> households, whose consumption falls </w:t>
      </w:r>
      <w:r w:rsidR="00307DA3">
        <w:t>by</w:t>
      </w:r>
      <w:r>
        <w:t xml:space="preserve"> 7 percent</w:t>
      </w:r>
      <w:r w:rsidR="00307DA3">
        <w:t xml:space="preserve">. </w:t>
      </w:r>
    </w:p>
    <w:p w:rsidR="00CE13E0" w:rsidRDefault="00CE13E0" w:rsidP="00DD269C">
      <w:pPr>
        <w:autoSpaceDE w:val="0"/>
        <w:autoSpaceDN w:val="0"/>
        <w:adjustRightInd w:val="0"/>
        <w:spacing w:line="264" w:lineRule="auto"/>
      </w:pPr>
    </w:p>
    <w:p w:rsidR="00E96447" w:rsidRDefault="00CE13E0" w:rsidP="00DD269C">
      <w:pPr>
        <w:autoSpaceDE w:val="0"/>
        <w:autoSpaceDN w:val="0"/>
        <w:adjustRightInd w:val="0"/>
        <w:spacing w:line="264" w:lineRule="auto"/>
      </w:pPr>
      <w:r>
        <w:t>For the</w:t>
      </w:r>
      <w:r w:rsidR="00E96447" w:rsidRPr="00B26890">
        <w:t xml:space="preserve"> case of a </w:t>
      </w:r>
      <w:r w:rsidR="00357AA4">
        <w:t>ten-year</w:t>
      </w:r>
      <w:r w:rsidR="00E96447" w:rsidRPr="00B26890">
        <w:t xml:space="preserve"> </w:t>
      </w:r>
      <w:r w:rsidR="00E96447">
        <w:t xml:space="preserve">consolidation, </w:t>
      </w:r>
      <w:r w:rsidR="00307DA3">
        <w:t xml:space="preserve">credible after one year, see </w:t>
      </w:r>
      <w:r w:rsidR="008C0088">
        <w:rPr>
          <w:noProof/>
        </w:rPr>
        <w:t>Figure A</w:t>
      </w:r>
      <w:r w:rsidR="00307DA3">
        <w:rPr>
          <w:noProof/>
        </w:rPr>
        <w:t>4</w:t>
      </w:r>
      <w:r w:rsidR="00307DA3" w:rsidRPr="00B26890">
        <w:t xml:space="preserve">, </w:t>
      </w:r>
      <w:r w:rsidR="00307DA3">
        <w:t xml:space="preserve">real </w:t>
      </w:r>
      <w:r w:rsidR="00307DA3" w:rsidRPr="00B26890">
        <w:t>GDP</w:t>
      </w:r>
      <w:r w:rsidR="00307DA3" w:rsidDel="007D1A3B">
        <w:t xml:space="preserve"> </w:t>
      </w:r>
      <w:r w:rsidR="00E96447">
        <w:t>falls by</w:t>
      </w:r>
      <w:r w:rsidR="00E96447" w:rsidRPr="00B26890">
        <w:t xml:space="preserve"> 0.</w:t>
      </w:r>
      <w:r w:rsidR="00FA67F7">
        <w:t xml:space="preserve">25 </w:t>
      </w:r>
      <w:r w:rsidR="00E96447">
        <w:t>percent</w:t>
      </w:r>
      <w:r w:rsidR="00E96447" w:rsidRPr="00B26890">
        <w:t xml:space="preserve"> in the first year.</w:t>
      </w:r>
      <w:r w:rsidR="00E96447">
        <w:t xml:space="preserve"> There is a reduction in</w:t>
      </w:r>
      <w:r w:rsidR="00307DA3">
        <w:t xml:space="preserve"> real</w:t>
      </w:r>
      <w:r w:rsidR="00E96447">
        <w:t xml:space="preserve"> investment of 0.</w:t>
      </w:r>
      <w:r w:rsidR="00FA67F7">
        <w:t xml:space="preserve">2 </w:t>
      </w:r>
      <w:r w:rsidR="00E96447">
        <w:t>percent by the third year which returns to baseline by year twelve</w:t>
      </w:r>
      <w:r w:rsidR="006134EF">
        <w:t xml:space="preserve">. </w:t>
      </w:r>
      <w:r w:rsidR="00E96447">
        <w:t xml:space="preserve">The reduction in demand reduces inflation by </w:t>
      </w:r>
      <w:r w:rsidR="00307DA3">
        <w:t>4</w:t>
      </w:r>
      <w:r w:rsidR="00E96447">
        <w:t xml:space="preserve"> basis points, and the CNB responds </w:t>
      </w:r>
      <w:r w:rsidR="009B4EC9">
        <w:t>by reduction in the policy</w:t>
      </w:r>
      <w:r w:rsidR="00E96447">
        <w:t xml:space="preserve"> rate by </w:t>
      </w:r>
      <w:r w:rsidR="00E96447">
        <w:lastRenderedPageBreak/>
        <w:t xml:space="preserve">approximately </w:t>
      </w:r>
      <w:r w:rsidR="00FA67F7">
        <w:t xml:space="preserve">6 </w:t>
      </w:r>
      <w:r w:rsidR="00E96447">
        <w:t xml:space="preserve">basis points. There are substantial leakages into imports via imported consumption goods. </w:t>
      </w:r>
    </w:p>
    <w:p w:rsidR="00E96447" w:rsidRDefault="00E96447" w:rsidP="00DD269C">
      <w:pPr>
        <w:autoSpaceDE w:val="0"/>
        <w:autoSpaceDN w:val="0"/>
        <w:adjustRightInd w:val="0"/>
        <w:spacing w:line="264" w:lineRule="auto"/>
      </w:pPr>
    </w:p>
    <w:p w:rsidR="00E96447" w:rsidRDefault="00E96447" w:rsidP="00DD269C">
      <w:pPr>
        <w:autoSpaceDE w:val="0"/>
        <w:autoSpaceDN w:val="0"/>
        <w:adjustRightInd w:val="0"/>
        <w:spacing w:line="264" w:lineRule="auto"/>
      </w:pPr>
      <w:r>
        <w:t xml:space="preserve">Credibility plays a similar role as </w:t>
      </w:r>
      <w:r w:rsidR="009B4EC9">
        <w:t xml:space="preserve">consolidation with </w:t>
      </w:r>
      <w:r>
        <w:t xml:space="preserve">government consumption </w:t>
      </w:r>
      <w:r w:rsidR="009B4EC9">
        <w:t xml:space="preserve">expenditure since </w:t>
      </w:r>
      <w:r>
        <w:t xml:space="preserve">the sooner credibility is perceived the </w:t>
      </w:r>
      <w:r w:rsidR="009B4EC9">
        <w:t xml:space="preserve">sooner </w:t>
      </w:r>
      <w:r>
        <w:t xml:space="preserve">the long term benefits of consolidation are </w:t>
      </w:r>
      <w:r w:rsidR="009B4EC9">
        <w:t>enjoyed</w:t>
      </w:r>
      <w:r>
        <w:t xml:space="preserve">. </w:t>
      </w:r>
    </w:p>
    <w:p w:rsidR="00E96447" w:rsidRDefault="00E96447" w:rsidP="00DD269C">
      <w:pPr>
        <w:autoSpaceDE w:val="0"/>
        <w:autoSpaceDN w:val="0"/>
        <w:adjustRightInd w:val="0"/>
        <w:spacing w:line="264" w:lineRule="auto"/>
      </w:pPr>
    </w:p>
    <w:p w:rsidR="00E96447" w:rsidRPr="00E5092A" w:rsidRDefault="00E96447" w:rsidP="00DD269C">
      <w:pPr>
        <w:autoSpaceDE w:val="0"/>
        <w:autoSpaceDN w:val="0"/>
        <w:adjustRightInd w:val="0"/>
        <w:spacing w:line="264" w:lineRule="auto"/>
      </w:pPr>
      <w:r>
        <w:t xml:space="preserve">A permanent reduction in targeted transfers increases </w:t>
      </w:r>
      <w:r w:rsidR="009B4EC9">
        <w:t xml:space="preserve">real </w:t>
      </w:r>
      <w:r>
        <w:t xml:space="preserve">GDP in the long run </w:t>
      </w:r>
      <w:r w:rsidR="00FA67F7">
        <w:t>as the benefits of the consolidation outweigh the reduction in transfer income</w:t>
      </w:r>
      <w:r>
        <w:t xml:space="preserve">. In the long run, although </w:t>
      </w:r>
      <w:r w:rsidR="009B4EC9">
        <w:t xml:space="preserve">real </w:t>
      </w:r>
      <w:r>
        <w:t xml:space="preserve">consumption increases by </w:t>
      </w:r>
      <w:r w:rsidR="009B4EC9">
        <w:t xml:space="preserve">0.1 </w:t>
      </w:r>
      <w:r>
        <w:t xml:space="preserve">percent there is a permanent fall in LIQ </w:t>
      </w:r>
      <w:r w:rsidR="009B4EC9">
        <w:t>agents’ real consumption</w:t>
      </w:r>
      <w:r>
        <w:t xml:space="preserve"> by 3.6 percent. </w:t>
      </w:r>
    </w:p>
    <w:p w:rsidR="00E96447" w:rsidRDefault="00E96447" w:rsidP="00DD269C">
      <w:pPr>
        <w:autoSpaceDE w:val="0"/>
        <w:autoSpaceDN w:val="0"/>
        <w:adjustRightInd w:val="0"/>
        <w:spacing w:line="264" w:lineRule="auto"/>
        <w:rPr>
          <w:b/>
        </w:rPr>
      </w:pPr>
    </w:p>
    <w:p w:rsidR="00E96447" w:rsidRDefault="00E96447" w:rsidP="00DD269C">
      <w:pPr>
        <w:autoSpaceDE w:val="0"/>
        <w:autoSpaceDN w:val="0"/>
        <w:adjustRightInd w:val="0"/>
        <w:spacing w:line="264" w:lineRule="auto"/>
        <w:rPr>
          <w:b/>
        </w:rPr>
      </w:pPr>
      <w:r>
        <w:rPr>
          <w:b/>
        </w:rPr>
        <w:t>Labor Income Taxes</w:t>
      </w:r>
    </w:p>
    <w:p w:rsidR="00E96447" w:rsidRDefault="00E96447" w:rsidP="00DD269C">
      <w:pPr>
        <w:autoSpaceDE w:val="0"/>
        <w:autoSpaceDN w:val="0"/>
        <w:adjustRightInd w:val="0"/>
        <w:spacing w:line="264" w:lineRule="auto"/>
        <w:rPr>
          <w:b/>
        </w:rPr>
      </w:pPr>
    </w:p>
    <w:p w:rsidR="00E96447" w:rsidRDefault="00E96447" w:rsidP="00DD269C">
      <w:pPr>
        <w:autoSpaceDE w:val="0"/>
        <w:autoSpaceDN w:val="0"/>
        <w:adjustRightInd w:val="0"/>
        <w:spacing w:line="264" w:lineRule="auto"/>
      </w:pPr>
      <w:r>
        <w:t xml:space="preserve">Fiscal consolidation </w:t>
      </w:r>
      <w:r w:rsidRPr="00E5092A">
        <w:t xml:space="preserve">with </w:t>
      </w:r>
      <w:r>
        <w:t xml:space="preserve">labor income taxes </w:t>
      </w:r>
      <w:r w:rsidR="00440120">
        <w:t xml:space="preserve">decreases </w:t>
      </w:r>
      <w:r>
        <w:t>the income of households and increases distortions in the labor market. These distortions result in a fall in labor supply</w:t>
      </w:r>
      <w:r w:rsidR="000B4F38">
        <w:t>,</w:t>
      </w:r>
      <w:r>
        <w:t xml:space="preserve"> reducing an important factor of production.</w:t>
      </w:r>
      <w:r w:rsidRPr="009645C3">
        <w:t xml:space="preserve"> </w:t>
      </w:r>
      <w:r>
        <w:t xml:space="preserve">The role of credibility </w:t>
      </w:r>
      <w:r w:rsidR="00031939">
        <w:t>is</w:t>
      </w:r>
      <w:r>
        <w:t xml:space="preserve"> similar to</w:t>
      </w:r>
      <w:r w:rsidR="00440120">
        <w:t xml:space="preserve"> the case of consolidation with </w:t>
      </w:r>
      <w:r>
        <w:t>government investment</w:t>
      </w:r>
      <w:r w:rsidR="00440120">
        <w:t xml:space="preserve"> expenditure</w:t>
      </w:r>
      <w:r>
        <w:t xml:space="preserve">. </w:t>
      </w:r>
      <w:r w:rsidR="00440120">
        <w:t xml:space="preserve">When </w:t>
      </w:r>
      <w:r>
        <w:t>the consolidation becomes credible</w:t>
      </w:r>
      <w:r w:rsidR="00031939">
        <w:t>,</w:t>
      </w:r>
      <w:r>
        <w:t xml:space="preserve"> households perceive a persistent fall in their incomes as well as a loss in output from higher costs of production. If OLG households perceive the consolidation to be temporary they will try to smooth their income, but as soon as the consolidation becomes credible they perceive the fall in future income which reduces </w:t>
      </w:r>
      <w:r w:rsidR="005D56A9">
        <w:t xml:space="preserve">will reduce their </w:t>
      </w:r>
      <w:r>
        <w:t xml:space="preserve">demand </w:t>
      </w:r>
      <w:r w:rsidR="005D56A9">
        <w:t>immediately</w:t>
      </w:r>
      <w:r>
        <w:t>.</w:t>
      </w:r>
    </w:p>
    <w:p w:rsidR="00E96447" w:rsidRDefault="00E96447" w:rsidP="00DD269C">
      <w:pPr>
        <w:autoSpaceDE w:val="0"/>
        <w:autoSpaceDN w:val="0"/>
        <w:adjustRightInd w:val="0"/>
        <w:spacing w:line="264" w:lineRule="auto"/>
      </w:pPr>
    </w:p>
    <w:p w:rsidR="00E96447" w:rsidRDefault="00E96447" w:rsidP="00DD269C">
      <w:pPr>
        <w:autoSpaceDE w:val="0"/>
        <w:autoSpaceDN w:val="0"/>
        <w:adjustRightInd w:val="0"/>
        <w:spacing w:line="264" w:lineRule="auto"/>
      </w:pPr>
      <w:r w:rsidRPr="00B26890">
        <w:t xml:space="preserve">For a case of a </w:t>
      </w:r>
      <w:r w:rsidR="00357AA4">
        <w:t>ten-year</w:t>
      </w:r>
      <w:r w:rsidRPr="00B26890">
        <w:t xml:space="preserve"> </w:t>
      </w:r>
      <w:r>
        <w:t xml:space="preserve">consolidation, </w:t>
      </w:r>
      <w:r w:rsidR="005D56A9">
        <w:t xml:space="preserve">credible after one year, see </w:t>
      </w:r>
      <w:r w:rsidR="008C0088">
        <w:rPr>
          <w:noProof/>
        </w:rPr>
        <w:t>Figure A</w:t>
      </w:r>
      <w:r w:rsidR="005D56A9">
        <w:rPr>
          <w:noProof/>
        </w:rPr>
        <w:t>5</w:t>
      </w:r>
      <w:r w:rsidR="005D56A9" w:rsidRPr="00B26890">
        <w:t xml:space="preserve">, </w:t>
      </w:r>
      <w:r w:rsidR="005D56A9">
        <w:t xml:space="preserve">real </w:t>
      </w:r>
      <w:r w:rsidR="005D56A9" w:rsidRPr="00B26890">
        <w:t>GDP</w:t>
      </w:r>
      <w:r w:rsidR="005D56A9" w:rsidDel="007D1A3B">
        <w:t xml:space="preserve"> </w:t>
      </w:r>
      <w:r>
        <w:t>falls by</w:t>
      </w:r>
      <w:r w:rsidRPr="00B26890">
        <w:t xml:space="preserve"> 0.</w:t>
      </w:r>
      <w:r>
        <w:t>13 percent</w:t>
      </w:r>
      <w:r w:rsidRPr="00B26890">
        <w:t xml:space="preserve"> in the first year</w:t>
      </w:r>
      <w:r>
        <w:t xml:space="preserve">, and falls </w:t>
      </w:r>
      <w:r w:rsidR="00FA67F7">
        <w:t xml:space="preserve">over </w:t>
      </w:r>
      <w:r>
        <w:t>0.</w:t>
      </w:r>
      <w:r w:rsidR="00FA67F7">
        <w:t>5</w:t>
      </w:r>
      <w:r w:rsidR="00A51C51">
        <w:t xml:space="preserve"> </w:t>
      </w:r>
      <w:r w:rsidR="008C0088">
        <w:t xml:space="preserve">percent </w:t>
      </w:r>
      <w:r>
        <w:t xml:space="preserve">once credibility of </w:t>
      </w:r>
      <w:r w:rsidR="00A51C51">
        <w:t>achieved</w:t>
      </w:r>
      <w:r w:rsidRPr="00B26890">
        <w:t>.</w:t>
      </w:r>
      <w:r>
        <w:t xml:space="preserve"> There is a reduction in </w:t>
      </w:r>
      <w:r w:rsidR="00A51C51">
        <w:t xml:space="preserve">real </w:t>
      </w:r>
      <w:r>
        <w:t xml:space="preserve">investment of </w:t>
      </w:r>
      <w:r w:rsidR="00CD2F59">
        <w:t>0.</w:t>
      </w:r>
      <w:r w:rsidR="00A51C51">
        <w:t xml:space="preserve">5 </w:t>
      </w:r>
      <w:r>
        <w:t xml:space="preserve">percent by the fifth year. </w:t>
      </w:r>
      <w:r w:rsidR="00A51C51">
        <w:t>Real c</w:t>
      </w:r>
      <w:r>
        <w:t>onsumption troughs at -</w:t>
      </w:r>
      <w:r w:rsidR="00FA67F7">
        <w:t xml:space="preserve">1.8 </w:t>
      </w:r>
      <w:r>
        <w:t xml:space="preserve">percent and there is a reduction in </w:t>
      </w:r>
      <w:r w:rsidR="00CD2F59">
        <w:t xml:space="preserve">the real </w:t>
      </w:r>
      <w:r>
        <w:t xml:space="preserve">consumption of LIQ households of 4 percent. </w:t>
      </w:r>
    </w:p>
    <w:p w:rsidR="00E96447" w:rsidRDefault="00E96447" w:rsidP="00DD269C">
      <w:pPr>
        <w:autoSpaceDE w:val="0"/>
        <w:autoSpaceDN w:val="0"/>
        <w:adjustRightInd w:val="0"/>
        <w:spacing w:line="264" w:lineRule="auto"/>
      </w:pPr>
      <w:r>
        <w:t xml:space="preserve"> </w:t>
      </w:r>
    </w:p>
    <w:p w:rsidR="00FA67F7" w:rsidRPr="00E5092A" w:rsidRDefault="00FA67F7" w:rsidP="00FA67F7">
      <w:pPr>
        <w:autoSpaceDE w:val="0"/>
        <w:autoSpaceDN w:val="0"/>
        <w:adjustRightInd w:val="0"/>
        <w:spacing w:line="264" w:lineRule="auto"/>
      </w:pPr>
      <w:r>
        <w:t>A permanent increase in labor income taxes increases real GDP by a small amount</w:t>
      </w:r>
      <w:r w:rsidR="00FA4488">
        <w:t xml:space="preserve"> in the </w:t>
      </w:r>
      <w:r>
        <w:t xml:space="preserve">long run as the benefits of the consolidation outweigh the reduction in labor income and the fall in labor supply. </w:t>
      </w:r>
    </w:p>
    <w:p w:rsidR="00CD2F59" w:rsidRDefault="00CD2F59" w:rsidP="00DD269C">
      <w:pPr>
        <w:autoSpaceDE w:val="0"/>
        <w:autoSpaceDN w:val="0"/>
        <w:adjustRightInd w:val="0"/>
        <w:spacing w:line="264" w:lineRule="auto"/>
      </w:pPr>
    </w:p>
    <w:p w:rsidR="00D13D64" w:rsidRDefault="00D13D64" w:rsidP="00D13D64">
      <w:pPr>
        <w:autoSpaceDE w:val="0"/>
        <w:autoSpaceDN w:val="0"/>
        <w:adjustRightInd w:val="0"/>
        <w:spacing w:line="264" w:lineRule="auto"/>
        <w:rPr>
          <w:b/>
        </w:rPr>
      </w:pPr>
      <w:r>
        <w:rPr>
          <w:b/>
        </w:rPr>
        <w:t>Consumption Taxes</w:t>
      </w:r>
    </w:p>
    <w:p w:rsidR="00D13D64" w:rsidRDefault="00D13D64" w:rsidP="00D13D64">
      <w:pPr>
        <w:autoSpaceDE w:val="0"/>
        <w:autoSpaceDN w:val="0"/>
        <w:adjustRightInd w:val="0"/>
        <w:spacing w:line="264" w:lineRule="auto"/>
        <w:rPr>
          <w:b/>
        </w:rPr>
      </w:pPr>
    </w:p>
    <w:p w:rsidR="00D13D64" w:rsidRDefault="00D13D64" w:rsidP="00D13D64">
      <w:pPr>
        <w:autoSpaceDE w:val="0"/>
        <w:autoSpaceDN w:val="0"/>
        <w:adjustRightInd w:val="0"/>
        <w:spacing w:line="264" w:lineRule="auto"/>
      </w:pPr>
      <w:r>
        <w:t xml:space="preserve">Fiscal consolidation </w:t>
      </w:r>
      <w:r w:rsidRPr="00E5092A">
        <w:t xml:space="preserve">with </w:t>
      </w:r>
      <w:r>
        <w:t>consumption taxes affects OLG and LIQ households by their respective shares in total consumption. Although this distorts the consumption decision, it does not affect a factor of production and there is direct disto</w:t>
      </w:r>
      <w:r w:rsidR="00FA4488">
        <w:t>rtion on the supply side of the </w:t>
      </w:r>
      <w:r>
        <w:t xml:space="preserve">economy. In this way, a higher consumption tax acts in a similar manner to a cut in transfers. The long-run benefits are perceived once the consolidation becomes credible and offsets (partially initially and more than fully later) the impact of an immediate tightening in the household budget constraint. </w:t>
      </w:r>
    </w:p>
    <w:p w:rsidR="00D13D64" w:rsidRDefault="00D13D64" w:rsidP="00D13D64">
      <w:pPr>
        <w:autoSpaceDE w:val="0"/>
        <w:autoSpaceDN w:val="0"/>
        <w:adjustRightInd w:val="0"/>
        <w:spacing w:line="264" w:lineRule="auto"/>
      </w:pPr>
    </w:p>
    <w:p w:rsidR="00D13D64" w:rsidRDefault="00D13D64" w:rsidP="00D13D64">
      <w:pPr>
        <w:autoSpaceDE w:val="0"/>
        <w:autoSpaceDN w:val="0"/>
        <w:adjustRightInd w:val="0"/>
        <w:spacing w:line="264" w:lineRule="auto"/>
      </w:pPr>
      <w:r w:rsidRPr="00B26890">
        <w:t xml:space="preserve">For a case of a </w:t>
      </w:r>
      <w:r>
        <w:t>ten-year</w:t>
      </w:r>
      <w:r w:rsidRPr="00B26890">
        <w:t xml:space="preserve"> </w:t>
      </w:r>
      <w:r>
        <w:t xml:space="preserve">consolidation, credible after one year, see </w:t>
      </w:r>
      <w:r w:rsidR="00FA4488">
        <w:rPr>
          <w:noProof/>
        </w:rPr>
        <w:t>Figure A</w:t>
      </w:r>
      <w:r>
        <w:rPr>
          <w:noProof/>
        </w:rPr>
        <w:t>6</w:t>
      </w:r>
      <w:r w:rsidRPr="00B26890">
        <w:t xml:space="preserve">, </w:t>
      </w:r>
      <w:r>
        <w:t xml:space="preserve">real </w:t>
      </w:r>
      <w:r w:rsidRPr="00B26890">
        <w:t>GDP</w:t>
      </w:r>
      <w:r w:rsidDel="007D1A3B">
        <w:t xml:space="preserve"> </w:t>
      </w:r>
      <w:r w:rsidR="00FA67F7">
        <w:t>troughs at-0.18 by</w:t>
      </w:r>
      <w:r>
        <w:t xml:space="preserve"> the second year. Real consumption falls by almost 2 percent and does not return to baseline levels until 40 years. In the long run, real GDP permanently increases by 0.</w:t>
      </w:r>
      <w:r w:rsidR="00FA67F7">
        <w:t xml:space="preserve">05 </w:t>
      </w:r>
      <w:r>
        <w:t xml:space="preserve">percent. Again the long-run impact arises from the reduction in lower tax obligations to service the debt, and lower equilibrium real interest rates. </w:t>
      </w:r>
    </w:p>
    <w:p w:rsidR="00CE13E0" w:rsidRDefault="00D13D64" w:rsidP="00DD269C">
      <w:pPr>
        <w:autoSpaceDE w:val="0"/>
        <w:autoSpaceDN w:val="0"/>
        <w:adjustRightInd w:val="0"/>
        <w:spacing w:line="264" w:lineRule="auto"/>
      </w:pPr>
      <w:r>
        <w:t xml:space="preserve"> </w:t>
      </w:r>
    </w:p>
    <w:p w:rsidR="00E96447" w:rsidRDefault="00E96447" w:rsidP="00DD269C">
      <w:pPr>
        <w:autoSpaceDE w:val="0"/>
        <w:autoSpaceDN w:val="0"/>
        <w:adjustRightInd w:val="0"/>
        <w:spacing w:line="264" w:lineRule="auto"/>
        <w:rPr>
          <w:b/>
        </w:rPr>
      </w:pPr>
      <w:r>
        <w:rPr>
          <w:b/>
        </w:rPr>
        <w:t>Capital Income Taxes</w:t>
      </w:r>
    </w:p>
    <w:p w:rsidR="00E96447" w:rsidRDefault="00E96447" w:rsidP="00DD269C">
      <w:pPr>
        <w:autoSpaceDE w:val="0"/>
        <w:autoSpaceDN w:val="0"/>
        <w:adjustRightInd w:val="0"/>
        <w:spacing w:line="264" w:lineRule="auto"/>
        <w:rPr>
          <w:b/>
        </w:rPr>
      </w:pPr>
    </w:p>
    <w:p w:rsidR="00E96447" w:rsidRDefault="00E96447" w:rsidP="00DD269C">
      <w:pPr>
        <w:autoSpaceDE w:val="0"/>
        <w:autoSpaceDN w:val="0"/>
        <w:adjustRightInd w:val="0"/>
        <w:spacing w:line="264" w:lineRule="auto"/>
      </w:pPr>
      <w:r>
        <w:t xml:space="preserve">Fiscal consolidation </w:t>
      </w:r>
      <w:r w:rsidRPr="00E5092A">
        <w:t xml:space="preserve">with </w:t>
      </w:r>
      <w:r>
        <w:t>capital income taxes affects the income of OLG households and increases distortions in the capital market. These distortions result in a fall in the s</w:t>
      </w:r>
      <w:r w:rsidR="008C16D0">
        <w:t>t</w:t>
      </w:r>
      <w:r>
        <w:t>ock of capital causing a reduction in an important factor of production.</w:t>
      </w:r>
      <w:r w:rsidRPr="009645C3">
        <w:t xml:space="preserve"> </w:t>
      </w:r>
      <w:r>
        <w:t xml:space="preserve">The role </w:t>
      </w:r>
      <w:r w:rsidR="00963104">
        <w:t>that</w:t>
      </w:r>
      <w:r>
        <w:t xml:space="preserve"> credibility plays </w:t>
      </w:r>
      <w:r w:rsidR="00963104">
        <w:t>is</w:t>
      </w:r>
      <w:r>
        <w:t xml:space="preserve"> similar to that of consolidation with labor income taxes. When, the consolidation becomes credible households perceive a persistent fall in their incomes as well as a loss in output from higher costs of production. For OLG h</w:t>
      </w:r>
      <w:r w:rsidR="00FA4488">
        <w:t>ouseholds, if they perceive the </w:t>
      </w:r>
      <w:r>
        <w:t>consolidation to be temporary they will to smooth their income, but as so</w:t>
      </w:r>
      <w:r w:rsidR="00FA4488">
        <w:t>on as the </w:t>
      </w:r>
      <w:r>
        <w:t>consolidation becomes credible they perceive the fall in income and production.</w:t>
      </w:r>
    </w:p>
    <w:p w:rsidR="00E96447" w:rsidRDefault="00E96447" w:rsidP="00DD269C">
      <w:pPr>
        <w:autoSpaceDE w:val="0"/>
        <w:autoSpaceDN w:val="0"/>
        <w:adjustRightInd w:val="0"/>
        <w:spacing w:line="264" w:lineRule="auto"/>
      </w:pPr>
    </w:p>
    <w:p w:rsidR="00E96447" w:rsidRDefault="00E96447" w:rsidP="00DD269C">
      <w:pPr>
        <w:autoSpaceDE w:val="0"/>
        <w:autoSpaceDN w:val="0"/>
        <w:adjustRightInd w:val="0"/>
        <w:spacing w:line="264" w:lineRule="auto"/>
      </w:pPr>
      <w:r w:rsidRPr="00B26890">
        <w:t xml:space="preserve">For a case of a </w:t>
      </w:r>
      <w:r w:rsidR="00357AA4">
        <w:t>ten-year</w:t>
      </w:r>
      <w:r w:rsidRPr="00B26890">
        <w:t xml:space="preserve"> </w:t>
      </w:r>
      <w:r>
        <w:t xml:space="preserve">consolidation, </w:t>
      </w:r>
      <w:r w:rsidR="005430E0">
        <w:t xml:space="preserve">credible after one year, see </w:t>
      </w:r>
      <w:r w:rsidR="00FA4488">
        <w:rPr>
          <w:noProof/>
        </w:rPr>
        <w:t>Figure A</w:t>
      </w:r>
      <w:r w:rsidR="00D13D64">
        <w:rPr>
          <w:noProof/>
        </w:rPr>
        <w:t>7</w:t>
      </w:r>
      <w:r w:rsidR="005430E0" w:rsidRPr="00B26890">
        <w:t xml:space="preserve">, </w:t>
      </w:r>
      <w:r w:rsidR="005430E0">
        <w:t xml:space="preserve">real </w:t>
      </w:r>
      <w:r w:rsidR="005430E0" w:rsidRPr="00B26890">
        <w:t>GDP</w:t>
      </w:r>
      <w:r w:rsidR="005430E0" w:rsidDel="007D1A3B">
        <w:t xml:space="preserve"> </w:t>
      </w:r>
      <w:r>
        <w:t>falls by</w:t>
      </w:r>
      <w:r w:rsidRPr="00B26890">
        <w:t xml:space="preserve"> </w:t>
      </w:r>
      <w:r w:rsidR="005430E0">
        <w:t>0.</w:t>
      </w:r>
      <w:r w:rsidR="00FA67F7">
        <w:t xml:space="preserve">7 </w:t>
      </w:r>
      <w:r w:rsidR="005430E0">
        <w:t>percent</w:t>
      </w:r>
      <w:r w:rsidR="00FA67F7">
        <w:t xml:space="preserve"> after several years</w:t>
      </w:r>
      <w:r>
        <w:t xml:space="preserve">. There is a reduction in </w:t>
      </w:r>
      <w:r w:rsidR="005430E0">
        <w:t xml:space="preserve">real </w:t>
      </w:r>
      <w:r>
        <w:t xml:space="preserve">investment of </w:t>
      </w:r>
      <w:r w:rsidR="005430E0">
        <w:t xml:space="preserve">almost </w:t>
      </w:r>
      <w:r>
        <w:t>3 percent which returns to baseline by year fifteen, and</w:t>
      </w:r>
      <w:r w:rsidR="005430E0">
        <w:t xml:space="preserve"> real</w:t>
      </w:r>
      <w:r>
        <w:t xml:space="preserve"> consumption troughs at -1.1 percent after the third year. </w:t>
      </w:r>
    </w:p>
    <w:p w:rsidR="00E96447" w:rsidRDefault="00E96447" w:rsidP="00DD269C">
      <w:pPr>
        <w:autoSpaceDE w:val="0"/>
        <w:autoSpaceDN w:val="0"/>
        <w:adjustRightInd w:val="0"/>
        <w:spacing w:line="264" w:lineRule="auto"/>
      </w:pPr>
    </w:p>
    <w:p w:rsidR="00DD269C" w:rsidRDefault="00E96447" w:rsidP="00DD269C">
      <w:pPr>
        <w:autoSpaceDE w:val="0"/>
        <w:autoSpaceDN w:val="0"/>
        <w:adjustRightInd w:val="0"/>
        <w:spacing w:line="264" w:lineRule="auto"/>
        <w:rPr>
          <w:b/>
        </w:rPr>
      </w:pPr>
      <w:r>
        <w:t xml:space="preserve">A permanent increase in capital income taxes results in a decrease in </w:t>
      </w:r>
      <w:r w:rsidR="00D13D64">
        <w:t xml:space="preserve">real </w:t>
      </w:r>
      <w:r>
        <w:t xml:space="preserve">GDP in the long run of 0.42 percent relative to baseline. </w:t>
      </w:r>
      <w:r w:rsidR="00D13D64">
        <w:t xml:space="preserve">Real </w:t>
      </w:r>
      <w:r>
        <w:t xml:space="preserve">GDP in the long run falls because the distortionary impact of higher capital taxes is greater than the gains </w:t>
      </w:r>
      <w:r w:rsidR="006C5D89">
        <w:t>from the consolidation</w:t>
      </w:r>
      <w:r>
        <w:t xml:space="preserve">. </w:t>
      </w:r>
    </w:p>
    <w:p w:rsidR="00C403F7" w:rsidRDefault="00C403F7" w:rsidP="008C652E">
      <w:pPr>
        <w:rPr>
          <w:b/>
          <w:noProof/>
        </w:rPr>
      </w:pPr>
    </w:p>
    <w:p w:rsidR="00DA268C" w:rsidRDefault="00DA268C" w:rsidP="008C652E">
      <w:pPr>
        <w:rPr>
          <w:b/>
          <w:noProof/>
        </w:rPr>
      </w:pPr>
    </w:p>
    <w:p w:rsidR="008C652E" w:rsidRDefault="008C652E" w:rsidP="008C652E">
      <w:pPr>
        <w:rPr>
          <w:b/>
          <w:noProof/>
        </w:rPr>
      </w:pPr>
    </w:p>
    <w:p w:rsidR="00DA268C" w:rsidRDefault="005D016A">
      <w:pPr>
        <w:rPr>
          <w:b/>
          <w:noProof/>
        </w:rPr>
      </w:pPr>
      <w:r w:rsidRPr="00C83CAB">
        <w:rPr>
          <w:b/>
          <w:noProof/>
        </w:rPr>
        <w:object w:dxaOrig="9180" w:dyaOrig="11880">
          <v:shape id="_x0000_i1026" type="#_x0000_t75" style="width:459pt;height:594pt" o:ole="">
            <v:imagedata r:id="rId10" o:title=""/>
          </v:shape>
          <o:OLEObject Type="Embed" ProgID="AcroExch.Document.7" ShapeID="_x0000_i1026" DrawAspect="Content" ObjectID="_1374682678" r:id="rId11"/>
        </w:object>
      </w:r>
      <w:r w:rsidRPr="00C83CAB">
        <w:rPr>
          <w:b/>
          <w:noProof/>
        </w:rPr>
        <w:object w:dxaOrig="9180" w:dyaOrig="11880">
          <v:shape id="_x0000_i1027" type="#_x0000_t75" style="width:459pt;height:594pt" o:ole="">
            <v:imagedata r:id="rId12" o:title=""/>
          </v:shape>
          <o:OLEObject Type="Embed" ProgID="AcroExch.Document.7" ShapeID="_x0000_i1027" DrawAspect="Content" ObjectID="_1374682679" r:id="rId13"/>
        </w:object>
      </w:r>
      <w:r w:rsidRPr="00C83CAB">
        <w:rPr>
          <w:b/>
          <w:noProof/>
        </w:rPr>
        <w:object w:dxaOrig="9180" w:dyaOrig="11880">
          <v:shape id="_x0000_i1028" type="#_x0000_t75" style="width:459pt;height:594pt" o:ole="">
            <v:imagedata r:id="rId14" o:title=""/>
          </v:shape>
          <o:OLEObject Type="Embed" ProgID="AcroExch.Document.7" ShapeID="_x0000_i1028" DrawAspect="Content" ObjectID="_1374682680" r:id="rId15"/>
        </w:object>
      </w:r>
      <w:r w:rsidRPr="00C83CAB">
        <w:rPr>
          <w:b/>
          <w:noProof/>
        </w:rPr>
        <w:object w:dxaOrig="9180" w:dyaOrig="11880">
          <v:shape id="_x0000_i1029" type="#_x0000_t75" style="width:459pt;height:594pt" o:ole="">
            <v:imagedata r:id="rId16" o:title=""/>
          </v:shape>
          <o:OLEObject Type="Embed" ProgID="AcroExch.Document.7" ShapeID="_x0000_i1029" DrawAspect="Content" ObjectID="_1374682681" r:id="rId17"/>
        </w:object>
      </w:r>
      <w:r w:rsidRPr="00C83CAB">
        <w:rPr>
          <w:b/>
          <w:noProof/>
        </w:rPr>
        <w:object w:dxaOrig="9180" w:dyaOrig="11880">
          <v:shape id="_x0000_i1030" type="#_x0000_t75" style="width:459pt;height:594pt" o:ole="">
            <v:imagedata r:id="rId18" o:title=""/>
          </v:shape>
          <o:OLEObject Type="Embed" ProgID="AcroExch.Document.7" ShapeID="_x0000_i1030" DrawAspect="Content" ObjectID="_1374682682" r:id="rId19"/>
        </w:object>
      </w:r>
      <w:r w:rsidRPr="00C83CAB">
        <w:rPr>
          <w:b/>
          <w:noProof/>
        </w:rPr>
        <w:object w:dxaOrig="9180" w:dyaOrig="11880">
          <v:shape id="_x0000_i1031" type="#_x0000_t75" style="width:459pt;height:594pt" o:ole="">
            <v:imagedata r:id="rId20" o:title=""/>
          </v:shape>
          <o:OLEObject Type="Embed" ProgID="AcroExch.Document.7" ShapeID="_x0000_i1031" DrawAspect="Content" ObjectID="_1374682683" r:id="rId21"/>
        </w:object>
      </w:r>
      <w:r w:rsidRPr="00C83CAB">
        <w:rPr>
          <w:b/>
          <w:noProof/>
        </w:rPr>
        <w:object w:dxaOrig="9180" w:dyaOrig="11880">
          <v:shape id="_x0000_i1032" type="#_x0000_t75" style="width:459pt;height:594pt" o:ole="">
            <v:imagedata r:id="rId22" o:title=""/>
          </v:shape>
          <o:OLEObject Type="Embed" ProgID="AcroExch.Document.7" ShapeID="_x0000_i1032" DrawAspect="Content" ObjectID="_1374682684" r:id="rId23"/>
        </w:object>
      </w:r>
      <w:r w:rsidRPr="00C83CAB">
        <w:rPr>
          <w:b/>
          <w:noProof/>
        </w:rPr>
        <w:object w:dxaOrig="9180" w:dyaOrig="11880">
          <v:shape id="_x0000_i1033" type="#_x0000_t75" style="width:459pt;height:594pt" o:ole="">
            <v:imagedata r:id="rId24" o:title=""/>
          </v:shape>
          <o:OLEObject Type="Embed" ProgID="AcroExch.Document.7" ShapeID="_x0000_i1033" DrawAspect="Content" ObjectID="_1374682685" r:id="rId25"/>
        </w:object>
      </w:r>
      <w:r w:rsidRPr="00C83CAB">
        <w:rPr>
          <w:b/>
          <w:noProof/>
        </w:rPr>
        <w:object w:dxaOrig="9180" w:dyaOrig="11880">
          <v:shape id="_x0000_i1034" type="#_x0000_t75" style="width:459pt;height:594pt" o:ole="">
            <v:imagedata r:id="rId26" o:title=""/>
          </v:shape>
          <o:OLEObject Type="Embed" ProgID="AcroExch.Document.7" ShapeID="_x0000_i1034" DrawAspect="Content" ObjectID="_1374682686" r:id="rId27"/>
        </w:object>
      </w:r>
      <w:r w:rsidRPr="00C83CAB">
        <w:rPr>
          <w:b/>
          <w:noProof/>
        </w:rPr>
        <w:object w:dxaOrig="9180" w:dyaOrig="11880">
          <v:shape id="_x0000_i1035" type="#_x0000_t75" style="width:459pt;height:594pt" o:ole="">
            <v:imagedata r:id="rId28" o:title=""/>
          </v:shape>
          <o:OLEObject Type="Embed" ProgID="AcroExch.Document.7" ShapeID="_x0000_i1035" DrawAspect="Content" ObjectID="_1374682687" r:id="rId29"/>
        </w:object>
      </w:r>
      <w:r w:rsidRPr="00C83CAB">
        <w:rPr>
          <w:b/>
          <w:noProof/>
        </w:rPr>
        <w:object w:dxaOrig="9180" w:dyaOrig="11880">
          <v:shape id="_x0000_i1036" type="#_x0000_t75" style="width:459pt;height:594pt" o:ole="">
            <v:imagedata r:id="rId30" o:title=""/>
          </v:shape>
          <o:OLEObject Type="Embed" ProgID="AcroExch.Document.7" ShapeID="_x0000_i1036" DrawAspect="Content" ObjectID="_1374682688" r:id="rId31"/>
        </w:object>
      </w:r>
      <w:r w:rsidRPr="00C83CAB">
        <w:rPr>
          <w:b/>
          <w:noProof/>
        </w:rPr>
        <w:object w:dxaOrig="9180" w:dyaOrig="11880">
          <v:shape id="_x0000_i1037" type="#_x0000_t75" style="width:459pt;height:594pt" o:ole="">
            <v:imagedata r:id="rId32" o:title=""/>
          </v:shape>
          <o:OLEObject Type="Embed" ProgID="AcroExch.Document.7" ShapeID="_x0000_i1037" DrawAspect="Content" ObjectID="_1374682689" r:id="rId33"/>
        </w:object>
      </w:r>
      <w:r w:rsidRPr="00C83CAB">
        <w:rPr>
          <w:b/>
          <w:noProof/>
        </w:rPr>
        <w:object w:dxaOrig="9180" w:dyaOrig="11880">
          <v:shape id="_x0000_i1038" type="#_x0000_t75" style="width:459pt;height:594pt" o:ole="">
            <v:imagedata r:id="rId34" o:title=""/>
          </v:shape>
          <o:OLEObject Type="Embed" ProgID="AcroExch.Document.7" ShapeID="_x0000_i1038" DrawAspect="Content" ObjectID="_1374682690" r:id="rId35"/>
        </w:object>
      </w:r>
      <w:r w:rsidRPr="00C83CAB">
        <w:rPr>
          <w:b/>
          <w:noProof/>
        </w:rPr>
        <w:object w:dxaOrig="9180" w:dyaOrig="11880">
          <v:shape id="_x0000_i1039" type="#_x0000_t75" style="width:459pt;height:594pt" o:ole="">
            <v:imagedata r:id="rId36" o:title=""/>
          </v:shape>
          <o:OLEObject Type="Embed" ProgID="AcroExch.Document.7" ShapeID="_x0000_i1039" DrawAspect="Content" ObjectID="_1374682691" r:id="rId37"/>
        </w:object>
      </w:r>
      <w:r w:rsidRPr="00C83CAB">
        <w:rPr>
          <w:b/>
          <w:noProof/>
        </w:rPr>
        <w:object w:dxaOrig="9180" w:dyaOrig="11880">
          <v:shape id="_x0000_i1040" type="#_x0000_t75" style="width:459pt;height:594pt" o:ole="">
            <v:imagedata r:id="rId38" o:title=""/>
          </v:shape>
          <o:OLEObject Type="Embed" ProgID="AcroExch.Document.7" ShapeID="_x0000_i1040" DrawAspect="Content" ObjectID="_1374682692" r:id="rId39"/>
        </w:object>
      </w:r>
      <w:r w:rsidRPr="00C83CAB">
        <w:rPr>
          <w:b/>
          <w:noProof/>
        </w:rPr>
        <w:object w:dxaOrig="9180" w:dyaOrig="11880">
          <v:shape id="_x0000_i1041" type="#_x0000_t75" style="width:459pt;height:594pt" o:ole="">
            <v:imagedata r:id="rId40" o:title=""/>
          </v:shape>
          <o:OLEObject Type="Embed" ProgID="AcroExch.Document.7" ShapeID="_x0000_i1041" DrawAspect="Content" ObjectID="_1374682693" r:id="rId41"/>
        </w:object>
      </w:r>
      <w:r w:rsidRPr="00C83CAB">
        <w:rPr>
          <w:b/>
          <w:noProof/>
        </w:rPr>
        <w:object w:dxaOrig="9180" w:dyaOrig="11880">
          <v:shape id="_x0000_i1042" type="#_x0000_t75" style="width:459pt;height:594pt" o:ole="">
            <v:imagedata r:id="rId42" o:title=""/>
          </v:shape>
          <o:OLEObject Type="Embed" ProgID="AcroExch.Document.7" ShapeID="_x0000_i1042" DrawAspect="Content" ObjectID="_1374682694" r:id="rId43"/>
        </w:object>
      </w:r>
      <w:r w:rsidRPr="00C83CAB">
        <w:rPr>
          <w:b/>
          <w:noProof/>
        </w:rPr>
        <w:object w:dxaOrig="9180" w:dyaOrig="11880">
          <v:shape id="_x0000_i1043" type="#_x0000_t75" style="width:459pt;height:594pt" o:ole="">
            <v:imagedata r:id="rId44" o:title=""/>
          </v:shape>
          <o:OLEObject Type="Embed" ProgID="AcroExch.Document.7" ShapeID="_x0000_i1043" DrawAspect="Content" ObjectID="_1374682695" r:id="rId45"/>
        </w:object>
      </w:r>
      <w:r w:rsidRPr="00C83CAB">
        <w:rPr>
          <w:b/>
          <w:noProof/>
        </w:rPr>
        <w:object w:dxaOrig="9180" w:dyaOrig="11880">
          <v:shape id="_x0000_i1044" type="#_x0000_t75" style="width:459pt;height:594pt" o:ole="">
            <v:imagedata r:id="rId46" o:title=""/>
          </v:shape>
          <o:OLEObject Type="Embed" ProgID="AcroExch.Document.7" ShapeID="_x0000_i1044" DrawAspect="Content" ObjectID="_1374682696" r:id="rId47"/>
        </w:object>
      </w:r>
      <w:r w:rsidRPr="00C83CAB">
        <w:rPr>
          <w:b/>
          <w:noProof/>
        </w:rPr>
        <w:object w:dxaOrig="9180" w:dyaOrig="11880">
          <v:shape id="_x0000_i1045" type="#_x0000_t75" style="width:459pt;height:594pt" o:ole="">
            <v:imagedata r:id="rId48" o:title=""/>
          </v:shape>
          <o:OLEObject Type="Embed" ProgID="AcroExch.Document.7" ShapeID="_x0000_i1045" DrawAspect="Content" ObjectID="_1374682697" r:id="rId49"/>
        </w:object>
      </w:r>
      <w:r w:rsidRPr="00C83CAB">
        <w:rPr>
          <w:b/>
          <w:noProof/>
        </w:rPr>
        <w:object w:dxaOrig="9180" w:dyaOrig="11880">
          <v:shape id="_x0000_i1046" type="#_x0000_t75" style="width:459pt;height:594pt" o:ole="">
            <v:imagedata r:id="rId50" o:title=""/>
          </v:shape>
          <o:OLEObject Type="Embed" ProgID="AcroExch.Document.7" ShapeID="_x0000_i1046" DrawAspect="Content" ObjectID="_1374682698" r:id="rId51"/>
        </w:object>
      </w:r>
      <w:r w:rsidR="00DA268C">
        <w:rPr>
          <w:b/>
          <w:noProof/>
        </w:rPr>
        <w:br w:type="page"/>
      </w:r>
    </w:p>
    <w:p w:rsidR="00CB2794" w:rsidRPr="00F3335A" w:rsidRDefault="00CB2794" w:rsidP="00CB2794">
      <w:pPr>
        <w:autoSpaceDE w:val="0"/>
        <w:autoSpaceDN w:val="0"/>
        <w:adjustRightInd w:val="0"/>
        <w:spacing w:line="264" w:lineRule="auto"/>
        <w:jc w:val="center"/>
        <w:rPr>
          <w:b/>
          <w:noProof/>
        </w:rPr>
      </w:pPr>
      <w:r w:rsidRPr="00F3335A">
        <w:rPr>
          <w:b/>
          <w:noProof/>
        </w:rPr>
        <w:lastRenderedPageBreak/>
        <w:t>Appendix I</w:t>
      </w:r>
      <w:r>
        <w:rPr>
          <w:b/>
          <w:noProof/>
        </w:rPr>
        <w:t>I</w:t>
      </w:r>
      <w:r w:rsidR="00FA4488">
        <w:rPr>
          <w:b/>
          <w:noProof/>
        </w:rPr>
        <w:t xml:space="preserve">I </w:t>
      </w:r>
      <w:r w:rsidRPr="00F3335A">
        <w:rPr>
          <w:b/>
          <w:noProof/>
        </w:rPr>
        <w:t xml:space="preserve"> 2011 Consolidation</w:t>
      </w:r>
      <w:r>
        <w:rPr>
          <w:b/>
          <w:noProof/>
        </w:rPr>
        <w:t xml:space="preserve"> </w:t>
      </w:r>
      <w:r w:rsidRPr="00F3335A">
        <w:rPr>
          <w:b/>
          <w:noProof/>
        </w:rPr>
        <w:t>Package</w:t>
      </w:r>
    </w:p>
    <w:p w:rsidR="00CB2794" w:rsidRPr="00F3335A" w:rsidRDefault="00CB2794" w:rsidP="00CB2794">
      <w:pPr>
        <w:spacing w:line="264" w:lineRule="auto"/>
        <w:rPr>
          <w:noProof/>
        </w:rPr>
      </w:pPr>
    </w:p>
    <w:p w:rsidR="00CB2794" w:rsidRDefault="00CB2794" w:rsidP="00CB2794">
      <w:pPr>
        <w:spacing w:line="264" w:lineRule="auto"/>
        <w:rPr>
          <w:noProof/>
        </w:rPr>
      </w:pPr>
      <w:r>
        <w:rPr>
          <w:noProof/>
        </w:rPr>
        <w:t>The 2011 b</w:t>
      </w:r>
      <w:r w:rsidRPr="008B68DC">
        <w:rPr>
          <w:noProof/>
        </w:rPr>
        <w:t xml:space="preserve">udget introduced a broad array of expenditure cuts and revenue-increasing measures adding up to 1.95 percent of GDP (not counting interest savings). </w:t>
      </w:r>
      <w:r>
        <w:rPr>
          <w:noProof/>
        </w:rPr>
        <w:t>The table below lists the key measures and how they map into GIMF instruments introduced in Section IV.</w:t>
      </w:r>
    </w:p>
    <w:p w:rsidR="00CB2794" w:rsidRPr="008B68DC" w:rsidRDefault="00CB2794" w:rsidP="00CB2794">
      <w:pPr>
        <w:spacing w:line="264" w:lineRule="auto"/>
        <w:rPr>
          <w:noProof/>
        </w:rPr>
      </w:pPr>
    </w:p>
    <w:p w:rsidR="00CB2794" w:rsidRDefault="002145B7" w:rsidP="00CB2794">
      <w:pPr>
        <w:spacing w:line="264" w:lineRule="auto"/>
        <w:jc w:val="center"/>
        <w:rPr>
          <w:noProof/>
        </w:rPr>
      </w:pPr>
      <w:r w:rsidRPr="002145B7">
        <w:rPr>
          <w:noProof/>
          <w:lang w:val="cs-CZ" w:eastAsia="cs-CZ"/>
        </w:rPr>
        <w:drawing>
          <wp:inline distT="0" distB="0" distL="0" distR="0">
            <wp:extent cx="5715000" cy="5396479"/>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srcRect/>
                    <a:stretch>
                      <a:fillRect/>
                    </a:stretch>
                  </pic:blipFill>
                  <pic:spPr bwMode="auto">
                    <a:xfrm>
                      <a:off x="0" y="0"/>
                      <a:ext cx="5715000" cy="5396479"/>
                    </a:xfrm>
                    <a:prstGeom prst="rect">
                      <a:avLst/>
                    </a:prstGeom>
                    <a:noFill/>
                    <a:ln w="9525">
                      <a:noFill/>
                      <a:miter lim="800000"/>
                      <a:headEnd/>
                      <a:tailEnd/>
                    </a:ln>
                  </pic:spPr>
                </pic:pic>
              </a:graphicData>
            </a:graphic>
          </wp:inline>
        </w:drawing>
      </w:r>
      <w:r w:rsidR="00CB2794" w:rsidRPr="00B44EE1" w:rsidDel="00B44EE1">
        <w:t xml:space="preserve"> </w:t>
      </w:r>
    </w:p>
    <w:p w:rsidR="00CB2794" w:rsidRDefault="00CB2794" w:rsidP="00CB2794">
      <w:pPr>
        <w:spacing w:line="264" w:lineRule="auto"/>
        <w:rPr>
          <w:noProof/>
        </w:rPr>
      </w:pPr>
    </w:p>
    <w:p w:rsidR="00CB2794" w:rsidRDefault="00CB2794" w:rsidP="00CB2794">
      <w:pPr>
        <w:spacing w:line="264" w:lineRule="auto"/>
        <w:rPr>
          <w:noProof/>
        </w:rPr>
      </w:pPr>
      <w:r>
        <w:rPr>
          <w:noProof/>
        </w:rPr>
        <w:t>While the mapping is self-explanatory for most measures, several choices may be worth highlighting. The 50 percent tax on the government’s contribution to a saving scheme is effectively a reduction in the government’s transfer, hence it is coded as such. Similarly, taxation of pensions or allowances was considered a negative transfer. The decision of whether cuts in transfers were allocated to general or targete</w:t>
      </w:r>
      <w:r w:rsidR="00FA4488">
        <w:rPr>
          <w:noProof/>
        </w:rPr>
        <w:t>d ones was based on the </w:t>
      </w:r>
      <w:r>
        <w:rPr>
          <w:noProof/>
        </w:rPr>
        <w:t xml:space="preserve">perceived income level of the affected group. The official split of the 13.3 billion </w:t>
      </w:r>
      <w:r>
        <w:rPr>
          <w:noProof/>
        </w:rPr>
        <w:lastRenderedPageBreak/>
        <w:t xml:space="preserve">reduction in non-mandatory current and capital expenditures is not available. It was assumed that one quarter of that amount would come out of capital budgets. Measures affecting public sector wages were mapped into changes in government consumption. Expenditures of general treasury include transfers to subnational levels of government. It is assumed that local governments will cut their consumption commensurately. </w:t>
      </w:r>
    </w:p>
    <w:p w:rsidR="00CB2794" w:rsidRDefault="00CB2794" w:rsidP="00CB2794">
      <w:pPr>
        <w:spacing w:line="264" w:lineRule="auto"/>
        <w:rPr>
          <w:noProof/>
        </w:rPr>
      </w:pPr>
    </w:p>
    <w:p w:rsidR="00CB2794" w:rsidRDefault="00CB2794" w:rsidP="00CB2794">
      <w:pPr>
        <w:spacing w:line="264" w:lineRule="auto"/>
        <w:rPr>
          <w:noProof/>
        </w:rPr>
      </w:pPr>
      <w:r>
        <w:rPr>
          <w:noProof/>
        </w:rPr>
        <w:t>The government plans to introduce a new lottery tax in 2012, with 5.5 billion korunas (0.14 percent of GDP) in estimated revenue. Little detail is available regarding that tax at this point, but most likely it will be structured similarly to the regular corporate income tax..</w:t>
      </w:r>
    </w:p>
    <w:p w:rsidR="00CB2794" w:rsidRDefault="00CB2794" w:rsidP="00CB2794">
      <w:pPr>
        <w:spacing w:line="264" w:lineRule="auto"/>
        <w:rPr>
          <w:noProof/>
        </w:rPr>
      </w:pPr>
    </w:p>
    <w:p w:rsidR="00CB2794" w:rsidRDefault="00CB2794" w:rsidP="00CB2794">
      <w:pPr>
        <w:spacing w:line="264" w:lineRule="auto"/>
        <w:rPr>
          <w:noProof/>
        </w:rPr>
      </w:pPr>
      <w:r>
        <w:rPr>
          <w:noProof/>
        </w:rPr>
        <w:t>The summary results of our mapping of the 2011 consolidation package into GIMF instruments are shown in the table below, which is also reproduced in the main text.</w:t>
      </w:r>
    </w:p>
    <w:p w:rsidR="00CB2794" w:rsidRDefault="00CB2794" w:rsidP="00CB2794">
      <w:pPr>
        <w:spacing w:line="264" w:lineRule="auto"/>
        <w:rPr>
          <w:noProof/>
        </w:rPr>
      </w:pPr>
    </w:p>
    <w:p w:rsidR="00CB2794" w:rsidRDefault="00CB2794" w:rsidP="00CB2794">
      <w:pPr>
        <w:spacing w:line="264" w:lineRule="auto"/>
        <w:jc w:val="center"/>
      </w:pPr>
      <w:r w:rsidRPr="00F73A66">
        <w:t xml:space="preserve"> </w:t>
      </w:r>
      <w:r>
        <w:rPr>
          <w:noProof/>
          <w:lang w:val="cs-CZ" w:eastAsia="cs-CZ"/>
        </w:rPr>
        <w:drawing>
          <wp:inline distT="0" distB="0" distL="0" distR="0">
            <wp:extent cx="3657600" cy="2676525"/>
            <wp:effectExtent l="1905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3657600" cy="2676525"/>
                    </a:xfrm>
                    <a:prstGeom prst="rect">
                      <a:avLst/>
                    </a:prstGeom>
                    <a:noFill/>
                    <a:ln w="9525">
                      <a:noFill/>
                      <a:miter lim="800000"/>
                      <a:headEnd/>
                      <a:tailEnd/>
                    </a:ln>
                  </pic:spPr>
                </pic:pic>
              </a:graphicData>
            </a:graphic>
          </wp:inline>
        </w:drawing>
      </w:r>
      <w:r w:rsidRPr="00D32064" w:rsidDel="00D32064">
        <w:t xml:space="preserve"> </w:t>
      </w:r>
      <w:r w:rsidRPr="007C171C" w:rsidDel="007C171C">
        <w:t xml:space="preserve"> </w:t>
      </w:r>
    </w:p>
    <w:p w:rsidR="00CB2794" w:rsidRDefault="00CB2794" w:rsidP="00CB2794">
      <w:pPr>
        <w:spacing w:line="264" w:lineRule="auto"/>
        <w:jc w:val="center"/>
      </w:pPr>
    </w:p>
    <w:sectPr w:rsidR="00CB2794" w:rsidSect="00CB2794">
      <w:headerReference w:type="default" r:id="rId54"/>
      <w:headerReference w:type="first" r:id="rId55"/>
      <w:type w:val="continuous"/>
      <w:pgSz w:w="12240" w:h="15840" w:code="1"/>
      <w:pgMar w:top="1440" w:right="1440" w:bottom="1440" w:left="180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4AF3" w:rsidRDefault="00324AF3">
      <w:r>
        <w:separator/>
      </w:r>
    </w:p>
  </w:endnote>
  <w:endnote w:type="continuationSeparator" w:id="0">
    <w:p w:rsidR="00324AF3" w:rsidRDefault="00324A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Cambria Math">
    <w:panose1 w:val="02040503050406030204"/>
    <w:charset w:val="EE"/>
    <w:family w:val="roman"/>
    <w:pitch w:val="variable"/>
    <w:sig w:usb0="A00002EF" w:usb1="420020E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4AF3" w:rsidRDefault="00324AF3">
      <w:r>
        <w:separator/>
      </w:r>
    </w:p>
  </w:footnote>
  <w:footnote w:type="continuationSeparator" w:id="0">
    <w:p w:rsidR="00324AF3" w:rsidRDefault="00324AF3">
      <w:r>
        <w:continuationSeparator/>
      </w:r>
    </w:p>
  </w:footnote>
  <w:footnote w:type="continuationNotice" w:id="1">
    <w:p w:rsidR="00324AF3" w:rsidRDefault="00324AF3">
      <w:pPr>
        <w:jc w:val="right"/>
      </w:pPr>
      <w:r>
        <w:t>(continued…)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088" w:rsidRPr="00980236" w:rsidRDefault="008C0088" w:rsidP="00980236">
    <w:pPr>
      <w:pStyle w:val="Zhlav"/>
    </w:pPr>
    <w:r>
      <w:tab/>
    </w:r>
    <w:fldSimple w:instr=" PAGE ">
      <w:r w:rsidR="00FA4488">
        <w:rPr>
          <w:noProof/>
        </w:rPr>
        <w:t>32</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088" w:rsidRDefault="008C0088">
    <w:pPr>
      <w:pStyle w:val="Zhlav"/>
      <w:jc w:val="right"/>
      <w:rPr>
        <w:sz w:val="3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2606838"/>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14105CA9"/>
    <w:multiLevelType w:val="hybridMultilevel"/>
    <w:tmpl w:val="31C02244"/>
    <w:lvl w:ilvl="0" w:tplc="3CF28AFA">
      <w:start w:val="1"/>
      <w:numFmt w:val="decimal"/>
      <w:pStyle w:val="ParagraphNumbering"/>
      <w:lvlText w:val="%1.     "/>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51B581B"/>
    <w:multiLevelType w:val="multilevel"/>
    <w:tmpl w:val="A206676C"/>
    <w:lvl w:ilvl="0">
      <w:start w:val="1"/>
      <w:numFmt w:val="upperRoman"/>
      <w:suff w:val="nothing"/>
      <w:lvlText w:val="%1.   "/>
      <w:lvlJc w:val="left"/>
      <w:pPr>
        <w:ind w:left="0" w:firstLine="0"/>
      </w:pPr>
    </w:lvl>
    <w:lvl w:ilvl="1">
      <w:start w:val="1"/>
      <w:numFmt w:val="upperLetter"/>
      <w:suff w:val="nothing"/>
      <w:lvlText w:val="%2.   "/>
      <w:lvlJc w:val="left"/>
      <w:pPr>
        <w:ind w:left="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nsid w:val="254D2197"/>
    <w:multiLevelType w:val="singleLevel"/>
    <w:tmpl w:val="799A6B14"/>
    <w:lvl w:ilvl="0">
      <w:start w:val="1"/>
      <w:numFmt w:val="decimal"/>
      <w:lvlText w:val="%1.     "/>
      <w:lvlJc w:val="left"/>
      <w:pPr>
        <w:tabs>
          <w:tab w:val="num" w:pos="720"/>
        </w:tabs>
        <w:ind w:left="0" w:firstLine="0"/>
      </w:pPr>
    </w:lvl>
  </w:abstractNum>
  <w:abstractNum w:abstractNumId="4">
    <w:nsid w:val="31F2551B"/>
    <w:multiLevelType w:val="singleLevel"/>
    <w:tmpl w:val="633A1214"/>
    <w:lvl w:ilvl="0">
      <w:numFmt w:val="bullet"/>
      <w:lvlText w:val="-"/>
      <w:lvlJc w:val="left"/>
      <w:pPr>
        <w:tabs>
          <w:tab w:val="num" w:pos="360"/>
        </w:tabs>
        <w:ind w:left="360" w:hanging="360"/>
      </w:pPr>
      <w:rPr>
        <w:rFonts w:hint="default"/>
      </w:rPr>
    </w:lvl>
  </w:abstractNum>
  <w:abstractNum w:abstractNumId="5">
    <w:nsid w:val="70EA15A1"/>
    <w:multiLevelType w:val="multilevel"/>
    <w:tmpl w:val="FAA42BFC"/>
    <w:lvl w:ilvl="0">
      <w:start w:val="1"/>
      <w:numFmt w:val="upperRoman"/>
      <w:pStyle w:val="Nadpis1"/>
      <w:suff w:val="nothing"/>
      <w:lvlText w:val="%1.   "/>
      <w:lvlJc w:val="left"/>
      <w:pPr>
        <w:ind w:left="0" w:firstLine="0"/>
      </w:pPr>
      <w:rPr>
        <w:rFonts w:hint="default"/>
      </w:rPr>
    </w:lvl>
    <w:lvl w:ilvl="1">
      <w:start w:val="1"/>
      <w:numFmt w:val="upperLetter"/>
      <w:pStyle w:val="Nadpis2"/>
      <w:suff w:val="nothing"/>
      <w:lvlText w:val="%2.   "/>
      <w:lvlJc w:val="left"/>
      <w:pPr>
        <w:ind w:left="0" w:firstLine="0"/>
      </w:pPr>
      <w:rPr>
        <w:rFonts w:hint="default"/>
      </w:rPr>
    </w:lvl>
    <w:lvl w:ilvl="2">
      <w:start w:val="1"/>
      <w:numFmt w:val="decimal"/>
      <w:lvlText w:val="%3."/>
      <w:lvlJc w:val="left"/>
      <w:pPr>
        <w:tabs>
          <w:tab w:val="num" w:pos="1080"/>
        </w:tabs>
        <w:ind w:left="720" w:firstLine="0"/>
      </w:pPr>
      <w:rPr>
        <w:rFonts w:hint="default"/>
      </w:rPr>
    </w:lvl>
    <w:lvl w:ilvl="3">
      <w:start w:val="1"/>
      <w:numFmt w:val="lowerLetter"/>
      <w:lvlText w:val="%4)"/>
      <w:lvlJc w:val="left"/>
      <w:pPr>
        <w:tabs>
          <w:tab w:val="num" w:pos="1800"/>
        </w:tabs>
        <w:ind w:left="1440" w:firstLine="0"/>
      </w:pPr>
      <w:rPr>
        <w:rFonts w:hint="default"/>
      </w:rPr>
    </w:lvl>
    <w:lvl w:ilvl="4">
      <w:start w:val="1"/>
      <w:numFmt w:val="decimal"/>
      <w:lvlText w:val="(%5)"/>
      <w:lvlJc w:val="left"/>
      <w:pPr>
        <w:tabs>
          <w:tab w:val="num" w:pos="2520"/>
        </w:tabs>
        <w:ind w:left="2160" w:firstLine="0"/>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num w:numId="1">
    <w:abstractNumId w:val="2"/>
  </w:num>
  <w:num w:numId="2">
    <w:abstractNumId w:val="2"/>
  </w:num>
  <w:num w:numId="3">
    <w:abstractNumId w:val="0"/>
  </w:num>
  <w:num w:numId="4">
    <w:abstractNumId w:val="0"/>
  </w:num>
  <w:num w:numId="5">
    <w:abstractNumId w:val="3"/>
  </w:num>
  <w:num w:numId="6">
    <w:abstractNumId w:val="4"/>
  </w:num>
  <w:num w:numId="7">
    <w:abstractNumId w:val="5"/>
  </w:num>
  <w:num w:numId="8">
    <w:abstractNumId w:val="5"/>
  </w:num>
  <w:num w:numId="9">
    <w:abstractNumId w:val="1"/>
  </w:num>
  <w:num w:numId="10">
    <w:abstractNumId w:val="5"/>
  </w:num>
  <w:num w:numId="11">
    <w:abstractNumId w:val="5"/>
  </w:num>
  <w:num w:numId="12">
    <w:abstractNumId w:val="1"/>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8" w:dllVersion="513" w:checkStyle="1"/>
  <w:activeWritingStyle w:appName="MSWord" w:lang="cs-CZ" w:vendorID="7" w:dllVersion="514" w:checkStyle="1"/>
  <w:attachedTemplate r:id="rId1"/>
  <w:stylePaneFormatFilter w:val="3F01"/>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38914"/>
  </w:hdrShapeDefaults>
  <w:footnotePr>
    <w:footnote w:id="-1"/>
    <w:footnote w:id="0"/>
    <w:footnote w:id="1"/>
  </w:footnotePr>
  <w:endnotePr>
    <w:endnote w:id="-1"/>
    <w:endnote w:id="0"/>
  </w:endnotePr>
  <w:compat/>
  <w:docVars>
    <w:docVar w:name="ABSTRACT" w:val=" "/>
    <w:docVar w:name="DOCNAME" w:val="Fiscal Consolidation in the Czech Republic: the Impact and the Choice of Instruments"/>
    <w:docVar w:name="TYPE_ID" w:val="PPR"/>
  </w:docVars>
  <w:rsids>
    <w:rsidRoot w:val="00C45951"/>
    <w:rsid w:val="000007E5"/>
    <w:rsid w:val="000068A2"/>
    <w:rsid w:val="000130CA"/>
    <w:rsid w:val="000243D7"/>
    <w:rsid w:val="00027A25"/>
    <w:rsid w:val="00030C6B"/>
    <w:rsid w:val="00031889"/>
    <w:rsid w:val="00031939"/>
    <w:rsid w:val="0003206A"/>
    <w:rsid w:val="000350A5"/>
    <w:rsid w:val="0003586A"/>
    <w:rsid w:val="00037226"/>
    <w:rsid w:val="00044491"/>
    <w:rsid w:val="00047C24"/>
    <w:rsid w:val="00050529"/>
    <w:rsid w:val="0005197E"/>
    <w:rsid w:val="0006312F"/>
    <w:rsid w:val="00063D55"/>
    <w:rsid w:val="0007077A"/>
    <w:rsid w:val="000714BE"/>
    <w:rsid w:val="00074331"/>
    <w:rsid w:val="0007556E"/>
    <w:rsid w:val="00084876"/>
    <w:rsid w:val="00091879"/>
    <w:rsid w:val="00091FA0"/>
    <w:rsid w:val="000A2095"/>
    <w:rsid w:val="000A3961"/>
    <w:rsid w:val="000B0456"/>
    <w:rsid w:val="000B4F38"/>
    <w:rsid w:val="000C4DA9"/>
    <w:rsid w:val="000D10BF"/>
    <w:rsid w:val="000D1A50"/>
    <w:rsid w:val="000D224A"/>
    <w:rsid w:val="000D29F9"/>
    <w:rsid w:val="000D3D7F"/>
    <w:rsid w:val="000E6E8C"/>
    <w:rsid w:val="000E74C3"/>
    <w:rsid w:val="000E7E8F"/>
    <w:rsid w:val="001024DA"/>
    <w:rsid w:val="00102568"/>
    <w:rsid w:val="001033C0"/>
    <w:rsid w:val="001170F0"/>
    <w:rsid w:val="0012426C"/>
    <w:rsid w:val="001242F0"/>
    <w:rsid w:val="00127CF3"/>
    <w:rsid w:val="00130817"/>
    <w:rsid w:val="001413AB"/>
    <w:rsid w:val="00146D9F"/>
    <w:rsid w:val="00156A43"/>
    <w:rsid w:val="00157C29"/>
    <w:rsid w:val="0016148D"/>
    <w:rsid w:val="0016303D"/>
    <w:rsid w:val="0017373C"/>
    <w:rsid w:val="00174BCA"/>
    <w:rsid w:val="00176B9C"/>
    <w:rsid w:val="00181840"/>
    <w:rsid w:val="00181E9F"/>
    <w:rsid w:val="00184C45"/>
    <w:rsid w:val="00186B24"/>
    <w:rsid w:val="00192FB9"/>
    <w:rsid w:val="00193ACB"/>
    <w:rsid w:val="001A0057"/>
    <w:rsid w:val="001A048C"/>
    <w:rsid w:val="001A1D1C"/>
    <w:rsid w:val="001A2DF7"/>
    <w:rsid w:val="001B0D8B"/>
    <w:rsid w:val="001B1CAE"/>
    <w:rsid w:val="001B5108"/>
    <w:rsid w:val="001B6C6E"/>
    <w:rsid w:val="001C17EC"/>
    <w:rsid w:val="001D0494"/>
    <w:rsid w:val="001D08D4"/>
    <w:rsid w:val="001D3FBC"/>
    <w:rsid w:val="001D543C"/>
    <w:rsid w:val="001E3058"/>
    <w:rsid w:val="001F0504"/>
    <w:rsid w:val="001F1894"/>
    <w:rsid w:val="001F6890"/>
    <w:rsid w:val="002006E9"/>
    <w:rsid w:val="00200B52"/>
    <w:rsid w:val="002010E6"/>
    <w:rsid w:val="00202689"/>
    <w:rsid w:val="00204C6D"/>
    <w:rsid w:val="00205DC6"/>
    <w:rsid w:val="002110C3"/>
    <w:rsid w:val="002145B7"/>
    <w:rsid w:val="0021518A"/>
    <w:rsid w:val="00224E07"/>
    <w:rsid w:val="0022740A"/>
    <w:rsid w:val="002347FD"/>
    <w:rsid w:val="00235833"/>
    <w:rsid w:val="00242010"/>
    <w:rsid w:val="002420B1"/>
    <w:rsid w:val="002455CD"/>
    <w:rsid w:val="00253D23"/>
    <w:rsid w:val="00254A89"/>
    <w:rsid w:val="00256C17"/>
    <w:rsid w:val="00260E33"/>
    <w:rsid w:val="00261BCE"/>
    <w:rsid w:val="00262A93"/>
    <w:rsid w:val="00266760"/>
    <w:rsid w:val="00280D84"/>
    <w:rsid w:val="00282F3A"/>
    <w:rsid w:val="00291F69"/>
    <w:rsid w:val="00296AE7"/>
    <w:rsid w:val="002A3A82"/>
    <w:rsid w:val="002A3F15"/>
    <w:rsid w:val="002A408C"/>
    <w:rsid w:val="002B00DF"/>
    <w:rsid w:val="002B2864"/>
    <w:rsid w:val="002B6A73"/>
    <w:rsid w:val="002B6D85"/>
    <w:rsid w:val="002B6FCB"/>
    <w:rsid w:val="002C4BD7"/>
    <w:rsid w:val="002C5D45"/>
    <w:rsid w:val="002D304C"/>
    <w:rsid w:val="002D4FA9"/>
    <w:rsid w:val="002E0CBE"/>
    <w:rsid w:val="002E1986"/>
    <w:rsid w:val="002E51AE"/>
    <w:rsid w:val="002E551F"/>
    <w:rsid w:val="002E5716"/>
    <w:rsid w:val="002E7523"/>
    <w:rsid w:val="002E753A"/>
    <w:rsid w:val="002F0720"/>
    <w:rsid w:val="002F1332"/>
    <w:rsid w:val="002F19AE"/>
    <w:rsid w:val="003007DD"/>
    <w:rsid w:val="00303958"/>
    <w:rsid w:val="00303AB5"/>
    <w:rsid w:val="00303CED"/>
    <w:rsid w:val="00307DA3"/>
    <w:rsid w:val="003137F2"/>
    <w:rsid w:val="00315043"/>
    <w:rsid w:val="0032088E"/>
    <w:rsid w:val="00324AF3"/>
    <w:rsid w:val="00325429"/>
    <w:rsid w:val="0032730A"/>
    <w:rsid w:val="00327475"/>
    <w:rsid w:val="00327551"/>
    <w:rsid w:val="00332EAA"/>
    <w:rsid w:val="00336469"/>
    <w:rsid w:val="00340FC6"/>
    <w:rsid w:val="00342583"/>
    <w:rsid w:val="00345705"/>
    <w:rsid w:val="00350238"/>
    <w:rsid w:val="00355117"/>
    <w:rsid w:val="00357AA4"/>
    <w:rsid w:val="00357D34"/>
    <w:rsid w:val="003603B0"/>
    <w:rsid w:val="00361A71"/>
    <w:rsid w:val="0036243A"/>
    <w:rsid w:val="0036284E"/>
    <w:rsid w:val="00365F52"/>
    <w:rsid w:val="00367742"/>
    <w:rsid w:val="00370306"/>
    <w:rsid w:val="00370992"/>
    <w:rsid w:val="00374E48"/>
    <w:rsid w:val="003778FE"/>
    <w:rsid w:val="00377A8F"/>
    <w:rsid w:val="00377CE5"/>
    <w:rsid w:val="00380A17"/>
    <w:rsid w:val="00384FF1"/>
    <w:rsid w:val="003903B2"/>
    <w:rsid w:val="00391D63"/>
    <w:rsid w:val="00392E45"/>
    <w:rsid w:val="00393F34"/>
    <w:rsid w:val="00394FD8"/>
    <w:rsid w:val="00396EE6"/>
    <w:rsid w:val="003A0241"/>
    <w:rsid w:val="003A06F6"/>
    <w:rsid w:val="003A58B1"/>
    <w:rsid w:val="003B2063"/>
    <w:rsid w:val="003C1180"/>
    <w:rsid w:val="003C4ED2"/>
    <w:rsid w:val="003D3937"/>
    <w:rsid w:val="003D6FFF"/>
    <w:rsid w:val="003E0060"/>
    <w:rsid w:val="003E482B"/>
    <w:rsid w:val="003E6D53"/>
    <w:rsid w:val="003E71E2"/>
    <w:rsid w:val="003F2049"/>
    <w:rsid w:val="003F3E43"/>
    <w:rsid w:val="003F6362"/>
    <w:rsid w:val="00403E9C"/>
    <w:rsid w:val="00404BD9"/>
    <w:rsid w:val="00406354"/>
    <w:rsid w:val="00407145"/>
    <w:rsid w:val="004078FB"/>
    <w:rsid w:val="00407906"/>
    <w:rsid w:val="00415B45"/>
    <w:rsid w:val="00416892"/>
    <w:rsid w:val="0042139F"/>
    <w:rsid w:val="00425818"/>
    <w:rsid w:val="00425B84"/>
    <w:rsid w:val="004261EA"/>
    <w:rsid w:val="0043192F"/>
    <w:rsid w:val="00433981"/>
    <w:rsid w:val="00435D76"/>
    <w:rsid w:val="00435F85"/>
    <w:rsid w:val="00440120"/>
    <w:rsid w:val="00451686"/>
    <w:rsid w:val="004520CE"/>
    <w:rsid w:val="00454990"/>
    <w:rsid w:val="00454C48"/>
    <w:rsid w:val="0045596D"/>
    <w:rsid w:val="00482B4D"/>
    <w:rsid w:val="00482D58"/>
    <w:rsid w:val="00482FCE"/>
    <w:rsid w:val="004838A2"/>
    <w:rsid w:val="004903EE"/>
    <w:rsid w:val="004950CE"/>
    <w:rsid w:val="00497FD2"/>
    <w:rsid w:val="004A068D"/>
    <w:rsid w:val="004A4238"/>
    <w:rsid w:val="004A5EBC"/>
    <w:rsid w:val="004B4B90"/>
    <w:rsid w:val="004B6F58"/>
    <w:rsid w:val="004C0E39"/>
    <w:rsid w:val="004C1B4D"/>
    <w:rsid w:val="004C4AA4"/>
    <w:rsid w:val="004D1056"/>
    <w:rsid w:val="004D2A23"/>
    <w:rsid w:val="004D3C57"/>
    <w:rsid w:val="004D60A5"/>
    <w:rsid w:val="004D79BF"/>
    <w:rsid w:val="004D7E66"/>
    <w:rsid w:val="004E71E1"/>
    <w:rsid w:val="004F367E"/>
    <w:rsid w:val="004F5384"/>
    <w:rsid w:val="004F5B8E"/>
    <w:rsid w:val="004F693B"/>
    <w:rsid w:val="005017C0"/>
    <w:rsid w:val="005139EC"/>
    <w:rsid w:val="00513BA5"/>
    <w:rsid w:val="00520F99"/>
    <w:rsid w:val="005212F6"/>
    <w:rsid w:val="00521949"/>
    <w:rsid w:val="00526473"/>
    <w:rsid w:val="00537822"/>
    <w:rsid w:val="00540442"/>
    <w:rsid w:val="005430E0"/>
    <w:rsid w:val="00545CBD"/>
    <w:rsid w:val="0055384F"/>
    <w:rsid w:val="00555EBE"/>
    <w:rsid w:val="005608B1"/>
    <w:rsid w:val="00562559"/>
    <w:rsid w:val="0056295C"/>
    <w:rsid w:val="005671DA"/>
    <w:rsid w:val="00567BEF"/>
    <w:rsid w:val="00570C0B"/>
    <w:rsid w:val="00572B36"/>
    <w:rsid w:val="005744AB"/>
    <w:rsid w:val="00575CF1"/>
    <w:rsid w:val="00576360"/>
    <w:rsid w:val="00577210"/>
    <w:rsid w:val="00581185"/>
    <w:rsid w:val="0058306A"/>
    <w:rsid w:val="0058408C"/>
    <w:rsid w:val="00584FE3"/>
    <w:rsid w:val="005875D4"/>
    <w:rsid w:val="00595112"/>
    <w:rsid w:val="0059521E"/>
    <w:rsid w:val="005A3B26"/>
    <w:rsid w:val="005A528B"/>
    <w:rsid w:val="005A7B5F"/>
    <w:rsid w:val="005B2205"/>
    <w:rsid w:val="005B5FA9"/>
    <w:rsid w:val="005C4414"/>
    <w:rsid w:val="005C5121"/>
    <w:rsid w:val="005D016A"/>
    <w:rsid w:val="005D56A9"/>
    <w:rsid w:val="005D5F9D"/>
    <w:rsid w:val="005E25CE"/>
    <w:rsid w:val="005E3C46"/>
    <w:rsid w:val="005F512F"/>
    <w:rsid w:val="005F602A"/>
    <w:rsid w:val="00600226"/>
    <w:rsid w:val="006063D1"/>
    <w:rsid w:val="006134EF"/>
    <w:rsid w:val="00615952"/>
    <w:rsid w:val="0061798D"/>
    <w:rsid w:val="00620BDC"/>
    <w:rsid w:val="006255F2"/>
    <w:rsid w:val="00625BDD"/>
    <w:rsid w:val="0062606E"/>
    <w:rsid w:val="00627020"/>
    <w:rsid w:val="00632BCE"/>
    <w:rsid w:val="006335C0"/>
    <w:rsid w:val="00633F8D"/>
    <w:rsid w:val="006465A8"/>
    <w:rsid w:val="00652E46"/>
    <w:rsid w:val="00656CCB"/>
    <w:rsid w:val="00663C68"/>
    <w:rsid w:val="00664FCB"/>
    <w:rsid w:val="00665DFC"/>
    <w:rsid w:val="00666477"/>
    <w:rsid w:val="00667F3A"/>
    <w:rsid w:val="0067548F"/>
    <w:rsid w:val="00675F90"/>
    <w:rsid w:val="006768EF"/>
    <w:rsid w:val="0068783C"/>
    <w:rsid w:val="0069731F"/>
    <w:rsid w:val="006A0F0E"/>
    <w:rsid w:val="006A1F61"/>
    <w:rsid w:val="006B368A"/>
    <w:rsid w:val="006B3D07"/>
    <w:rsid w:val="006B5C79"/>
    <w:rsid w:val="006C0839"/>
    <w:rsid w:val="006C09EA"/>
    <w:rsid w:val="006C1C71"/>
    <w:rsid w:val="006C5D89"/>
    <w:rsid w:val="006C6DF0"/>
    <w:rsid w:val="006C7515"/>
    <w:rsid w:val="006D48DA"/>
    <w:rsid w:val="006D5058"/>
    <w:rsid w:val="006E314A"/>
    <w:rsid w:val="006E4471"/>
    <w:rsid w:val="006E5FAD"/>
    <w:rsid w:val="006F3353"/>
    <w:rsid w:val="006F65EF"/>
    <w:rsid w:val="006F6F3B"/>
    <w:rsid w:val="006F7C16"/>
    <w:rsid w:val="00702CCD"/>
    <w:rsid w:val="00710A41"/>
    <w:rsid w:val="007131DF"/>
    <w:rsid w:val="00713737"/>
    <w:rsid w:val="007152E6"/>
    <w:rsid w:val="007157D3"/>
    <w:rsid w:val="0071625D"/>
    <w:rsid w:val="00720E20"/>
    <w:rsid w:val="00721042"/>
    <w:rsid w:val="00724BA3"/>
    <w:rsid w:val="00726435"/>
    <w:rsid w:val="00731E2E"/>
    <w:rsid w:val="00734B4B"/>
    <w:rsid w:val="00744797"/>
    <w:rsid w:val="00744F3D"/>
    <w:rsid w:val="00746EA6"/>
    <w:rsid w:val="00750B35"/>
    <w:rsid w:val="00752DDF"/>
    <w:rsid w:val="0075631A"/>
    <w:rsid w:val="007635D6"/>
    <w:rsid w:val="00765B5D"/>
    <w:rsid w:val="00767AE3"/>
    <w:rsid w:val="0077287A"/>
    <w:rsid w:val="00774726"/>
    <w:rsid w:val="00781912"/>
    <w:rsid w:val="00782DF5"/>
    <w:rsid w:val="00783587"/>
    <w:rsid w:val="00783714"/>
    <w:rsid w:val="00785C69"/>
    <w:rsid w:val="00791985"/>
    <w:rsid w:val="0079291D"/>
    <w:rsid w:val="0079297A"/>
    <w:rsid w:val="00793DD2"/>
    <w:rsid w:val="00794DF2"/>
    <w:rsid w:val="007959CD"/>
    <w:rsid w:val="007A309E"/>
    <w:rsid w:val="007A787B"/>
    <w:rsid w:val="007B2372"/>
    <w:rsid w:val="007B57CF"/>
    <w:rsid w:val="007B69EF"/>
    <w:rsid w:val="007C0EEE"/>
    <w:rsid w:val="007C171C"/>
    <w:rsid w:val="007D0F36"/>
    <w:rsid w:val="007D1A3B"/>
    <w:rsid w:val="007D1D55"/>
    <w:rsid w:val="007D6653"/>
    <w:rsid w:val="007E0AD2"/>
    <w:rsid w:val="007E0E8C"/>
    <w:rsid w:val="007E6F3C"/>
    <w:rsid w:val="007F2BE3"/>
    <w:rsid w:val="007F3252"/>
    <w:rsid w:val="007F3544"/>
    <w:rsid w:val="007F58B4"/>
    <w:rsid w:val="007F7431"/>
    <w:rsid w:val="007F7AFB"/>
    <w:rsid w:val="00804099"/>
    <w:rsid w:val="00806F01"/>
    <w:rsid w:val="008074DC"/>
    <w:rsid w:val="008204A0"/>
    <w:rsid w:val="00824336"/>
    <w:rsid w:val="0082462A"/>
    <w:rsid w:val="0083255D"/>
    <w:rsid w:val="008331DB"/>
    <w:rsid w:val="00841CD3"/>
    <w:rsid w:val="00841F6C"/>
    <w:rsid w:val="00842F2B"/>
    <w:rsid w:val="008453D7"/>
    <w:rsid w:val="00850217"/>
    <w:rsid w:val="00851F69"/>
    <w:rsid w:val="00854EF5"/>
    <w:rsid w:val="008569C0"/>
    <w:rsid w:val="00862201"/>
    <w:rsid w:val="00863EEE"/>
    <w:rsid w:val="00871187"/>
    <w:rsid w:val="00871779"/>
    <w:rsid w:val="00872C97"/>
    <w:rsid w:val="0087402B"/>
    <w:rsid w:val="00874EAC"/>
    <w:rsid w:val="00874FF9"/>
    <w:rsid w:val="00875401"/>
    <w:rsid w:val="00884534"/>
    <w:rsid w:val="00885D7F"/>
    <w:rsid w:val="008B2AD0"/>
    <w:rsid w:val="008B36FE"/>
    <w:rsid w:val="008B401D"/>
    <w:rsid w:val="008B41C4"/>
    <w:rsid w:val="008B68DC"/>
    <w:rsid w:val="008B71A0"/>
    <w:rsid w:val="008C0088"/>
    <w:rsid w:val="008C16D0"/>
    <w:rsid w:val="008C1C29"/>
    <w:rsid w:val="008C3A59"/>
    <w:rsid w:val="008C652E"/>
    <w:rsid w:val="008D485F"/>
    <w:rsid w:val="008D528F"/>
    <w:rsid w:val="008D77AC"/>
    <w:rsid w:val="008E2C3A"/>
    <w:rsid w:val="008E3F30"/>
    <w:rsid w:val="008E45F9"/>
    <w:rsid w:val="008E4885"/>
    <w:rsid w:val="008F021F"/>
    <w:rsid w:val="008F50F5"/>
    <w:rsid w:val="008F6FA0"/>
    <w:rsid w:val="00901B68"/>
    <w:rsid w:val="009128DE"/>
    <w:rsid w:val="00913786"/>
    <w:rsid w:val="00913968"/>
    <w:rsid w:val="009156B5"/>
    <w:rsid w:val="009157A1"/>
    <w:rsid w:val="00916444"/>
    <w:rsid w:val="00920E9D"/>
    <w:rsid w:val="00923287"/>
    <w:rsid w:val="00930EE4"/>
    <w:rsid w:val="00933A43"/>
    <w:rsid w:val="00935F3D"/>
    <w:rsid w:val="00937063"/>
    <w:rsid w:val="0095689D"/>
    <w:rsid w:val="00962455"/>
    <w:rsid w:val="00963104"/>
    <w:rsid w:val="009646C8"/>
    <w:rsid w:val="00964F69"/>
    <w:rsid w:val="00973086"/>
    <w:rsid w:val="00974C66"/>
    <w:rsid w:val="00980236"/>
    <w:rsid w:val="00987F12"/>
    <w:rsid w:val="009934DF"/>
    <w:rsid w:val="00993CF3"/>
    <w:rsid w:val="009A7DBE"/>
    <w:rsid w:val="009B0637"/>
    <w:rsid w:val="009B11D9"/>
    <w:rsid w:val="009B4B83"/>
    <w:rsid w:val="009B4EC9"/>
    <w:rsid w:val="009B61D3"/>
    <w:rsid w:val="009B7FD8"/>
    <w:rsid w:val="009C0886"/>
    <w:rsid w:val="009C3694"/>
    <w:rsid w:val="009C5C88"/>
    <w:rsid w:val="009D5798"/>
    <w:rsid w:val="009D65B5"/>
    <w:rsid w:val="009E12AE"/>
    <w:rsid w:val="009E256E"/>
    <w:rsid w:val="009E42BB"/>
    <w:rsid w:val="009E704A"/>
    <w:rsid w:val="009F1E94"/>
    <w:rsid w:val="009F4F5E"/>
    <w:rsid w:val="00A041B0"/>
    <w:rsid w:val="00A25CAA"/>
    <w:rsid w:val="00A25CFE"/>
    <w:rsid w:val="00A31546"/>
    <w:rsid w:val="00A321C5"/>
    <w:rsid w:val="00A36F16"/>
    <w:rsid w:val="00A404EA"/>
    <w:rsid w:val="00A41B03"/>
    <w:rsid w:val="00A44ACA"/>
    <w:rsid w:val="00A4790E"/>
    <w:rsid w:val="00A47F52"/>
    <w:rsid w:val="00A51C51"/>
    <w:rsid w:val="00A53DDB"/>
    <w:rsid w:val="00A578F5"/>
    <w:rsid w:val="00A60F06"/>
    <w:rsid w:val="00A66A3B"/>
    <w:rsid w:val="00A6757E"/>
    <w:rsid w:val="00A73FF8"/>
    <w:rsid w:val="00A84AE9"/>
    <w:rsid w:val="00A85DDE"/>
    <w:rsid w:val="00A865CD"/>
    <w:rsid w:val="00A87C95"/>
    <w:rsid w:val="00A912F8"/>
    <w:rsid w:val="00AA1392"/>
    <w:rsid w:val="00AA4263"/>
    <w:rsid w:val="00AA68BC"/>
    <w:rsid w:val="00AB062F"/>
    <w:rsid w:val="00AB15AA"/>
    <w:rsid w:val="00AB17C5"/>
    <w:rsid w:val="00AB37FB"/>
    <w:rsid w:val="00AB582C"/>
    <w:rsid w:val="00AB75F3"/>
    <w:rsid w:val="00AC2802"/>
    <w:rsid w:val="00AC3FA0"/>
    <w:rsid w:val="00AC5B78"/>
    <w:rsid w:val="00AC61AC"/>
    <w:rsid w:val="00AC7DF5"/>
    <w:rsid w:val="00AD080F"/>
    <w:rsid w:val="00AD2F99"/>
    <w:rsid w:val="00AE0F64"/>
    <w:rsid w:val="00AE417E"/>
    <w:rsid w:val="00AF0769"/>
    <w:rsid w:val="00AF10B3"/>
    <w:rsid w:val="00AF46A3"/>
    <w:rsid w:val="00AF70B5"/>
    <w:rsid w:val="00B0416D"/>
    <w:rsid w:val="00B04748"/>
    <w:rsid w:val="00B0527B"/>
    <w:rsid w:val="00B05B02"/>
    <w:rsid w:val="00B05BDF"/>
    <w:rsid w:val="00B1199D"/>
    <w:rsid w:val="00B11F7D"/>
    <w:rsid w:val="00B12591"/>
    <w:rsid w:val="00B128BC"/>
    <w:rsid w:val="00B256C3"/>
    <w:rsid w:val="00B25D33"/>
    <w:rsid w:val="00B278E0"/>
    <w:rsid w:val="00B31783"/>
    <w:rsid w:val="00B32B6A"/>
    <w:rsid w:val="00B34CEA"/>
    <w:rsid w:val="00B44EE1"/>
    <w:rsid w:val="00B47789"/>
    <w:rsid w:val="00B622B9"/>
    <w:rsid w:val="00B62D4E"/>
    <w:rsid w:val="00B7144D"/>
    <w:rsid w:val="00B716D3"/>
    <w:rsid w:val="00B73FB7"/>
    <w:rsid w:val="00B813EB"/>
    <w:rsid w:val="00B83CB4"/>
    <w:rsid w:val="00B86775"/>
    <w:rsid w:val="00B93854"/>
    <w:rsid w:val="00B96DB8"/>
    <w:rsid w:val="00BA11B3"/>
    <w:rsid w:val="00BA29E0"/>
    <w:rsid w:val="00BA5CEA"/>
    <w:rsid w:val="00BA6FFC"/>
    <w:rsid w:val="00BA74FB"/>
    <w:rsid w:val="00BB2012"/>
    <w:rsid w:val="00BC1C37"/>
    <w:rsid w:val="00BC1D5E"/>
    <w:rsid w:val="00BC2426"/>
    <w:rsid w:val="00BC2A16"/>
    <w:rsid w:val="00BC3F00"/>
    <w:rsid w:val="00BC58B0"/>
    <w:rsid w:val="00BD2013"/>
    <w:rsid w:val="00BD6A44"/>
    <w:rsid w:val="00BD7938"/>
    <w:rsid w:val="00BE1BDF"/>
    <w:rsid w:val="00BE2FB2"/>
    <w:rsid w:val="00BE71C5"/>
    <w:rsid w:val="00BE7DA3"/>
    <w:rsid w:val="00C0514D"/>
    <w:rsid w:val="00C067AC"/>
    <w:rsid w:val="00C06FD1"/>
    <w:rsid w:val="00C126BA"/>
    <w:rsid w:val="00C23511"/>
    <w:rsid w:val="00C26D74"/>
    <w:rsid w:val="00C31310"/>
    <w:rsid w:val="00C328AC"/>
    <w:rsid w:val="00C32EBA"/>
    <w:rsid w:val="00C345D6"/>
    <w:rsid w:val="00C355D9"/>
    <w:rsid w:val="00C3704A"/>
    <w:rsid w:val="00C403F7"/>
    <w:rsid w:val="00C41224"/>
    <w:rsid w:val="00C4209B"/>
    <w:rsid w:val="00C4274A"/>
    <w:rsid w:val="00C44C41"/>
    <w:rsid w:val="00C45951"/>
    <w:rsid w:val="00C46785"/>
    <w:rsid w:val="00C47EF4"/>
    <w:rsid w:val="00C50628"/>
    <w:rsid w:val="00C51142"/>
    <w:rsid w:val="00C52276"/>
    <w:rsid w:val="00C5281C"/>
    <w:rsid w:val="00C5287A"/>
    <w:rsid w:val="00C6312C"/>
    <w:rsid w:val="00C721C4"/>
    <w:rsid w:val="00C72C71"/>
    <w:rsid w:val="00C74DFD"/>
    <w:rsid w:val="00C75353"/>
    <w:rsid w:val="00C75C86"/>
    <w:rsid w:val="00C774EC"/>
    <w:rsid w:val="00C805FD"/>
    <w:rsid w:val="00C839CC"/>
    <w:rsid w:val="00C83CAB"/>
    <w:rsid w:val="00C853D4"/>
    <w:rsid w:val="00C8782A"/>
    <w:rsid w:val="00C97412"/>
    <w:rsid w:val="00CA3A19"/>
    <w:rsid w:val="00CA7943"/>
    <w:rsid w:val="00CB11C9"/>
    <w:rsid w:val="00CB17A8"/>
    <w:rsid w:val="00CB1F7C"/>
    <w:rsid w:val="00CB2529"/>
    <w:rsid w:val="00CB2794"/>
    <w:rsid w:val="00CB3E4E"/>
    <w:rsid w:val="00CC1CA2"/>
    <w:rsid w:val="00CD0446"/>
    <w:rsid w:val="00CD2F59"/>
    <w:rsid w:val="00CE13E0"/>
    <w:rsid w:val="00CE6554"/>
    <w:rsid w:val="00CF190C"/>
    <w:rsid w:val="00CF3F11"/>
    <w:rsid w:val="00CF49F5"/>
    <w:rsid w:val="00CF4BA2"/>
    <w:rsid w:val="00CF6C7B"/>
    <w:rsid w:val="00CF71A2"/>
    <w:rsid w:val="00D0302C"/>
    <w:rsid w:val="00D037B4"/>
    <w:rsid w:val="00D03C1E"/>
    <w:rsid w:val="00D048EB"/>
    <w:rsid w:val="00D108A3"/>
    <w:rsid w:val="00D13D64"/>
    <w:rsid w:val="00D156F1"/>
    <w:rsid w:val="00D162CF"/>
    <w:rsid w:val="00D17A2C"/>
    <w:rsid w:val="00D20CBF"/>
    <w:rsid w:val="00D232D0"/>
    <w:rsid w:val="00D240D2"/>
    <w:rsid w:val="00D25D1E"/>
    <w:rsid w:val="00D312C3"/>
    <w:rsid w:val="00D32064"/>
    <w:rsid w:val="00D34EA4"/>
    <w:rsid w:val="00D35CF1"/>
    <w:rsid w:val="00D4004E"/>
    <w:rsid w:val="00D44FC7"/>
    <w:rsid w:val="00D5165B"/>
    <w:rsid w:val="00D54E93"/>
    <w:rsid w:val="00D569C7"/>
    <w:rsid w:val="00D5745D"/>
    <w:rsid w:val="00D674B1"/>
    <w:rsid w:val="00D70525"/>
    <w:rsid w:val="00D74146"/>
    <w:rsid w:val="00D7544B"/>
    <w:rsid w:val="00D76B43"/>
    <w:rsid w:val="00D81E30"/>
    <w:rsid w:val="00D853DB"/>
    <w:rsid w:val="00D8667C"/>
    <w:rsid w:val="00D8686A"/>
    <w:rsid w:val="00D90E39"/>
    <w:rsid w:val="00D92E6F"/>
    <w:rsid w:val="00D94DC6"/>
    <w:rsid w:val="00D9538B"/>
    <w:rsid w:val="00DA055B"/>
    <w:rsid w:val="00DA2262"/>
    <w:rsid w:val="00DA268C"/>
    <w:rsid w:val="00DA5538"/>
    <w:rsid w:val="00DA5DE6"/>
    <w:rsid w:val="00DA7FD1"/>
    <w:rsid w:val="00DB4460"/>
    <w:rsid w:val="00DB46AC"/>
    <w:rsid w:val="00DB5569"/>
    <w:rsid w:val="00DC1AB1"/>
    <w:rsid w:val="00DC3FAD"/>
    <w:rsid w:val="00DC4B5F"/>
    <w:rsid w:val="00DD269C"/>
    <w:rsid w:val="00DD348D"/>
    <w:rsid w:val="00DE1896"/>
    <w:rsid w:val="00DE32D4"/>
    <w:rsid w:val="00DE58FC"/>
    <w:rsid w:val="00DE7E52"/>
    <w:rsid w:val="00DF0586"/>
    <w:rsid w:val="00DF0DE4"/>
    <w:rsid w:val="00DF15AF"/>
    <w:rsid w:val="00DF6304"/>
    <w:rsid w:val="00E053FB"/>
    <w:rsid w:val="00E07E8A"/>
    <w:rsid w:val="00E1099B"/>
    <w:rsid w:val="00E115B6"/>
    <w:rsid w:val="00E15B36"/>
    <w:rsid w:val="00E23A27"/>
    <w:rsid w:val="00E2462A"/>
    <w:rsid w:val="00E300D3"/>
    <w:rsid w:val="00E31071"/>
    <w:rsid w:val="00E31526"/>
    <w:rsid w:val="00E332B9"/>
    <w:rsid w:val="00E34166"/>
    <w:rsid w:val="00E35FE7"/>
    <w:rsid w:val="00E40C11"/>
    <w:rsid w:val="00E41BC9"/>
    <w:rsid w:val="00E430EE"/>
    <w:rsid w:val="00E529B0"/>
    <w:rsid w:val="00E55E95"/>
    <w:rsid w:val="00E560BB"/>
    <w:rsid w:val="00E562F8"/>
    <w:rsid w:val="00E572BE"/>
    <w:rsid w:val="00E572D6"/>
    <w:rsid w:val="00E60E16"/>
    <w:rsid w:val="00E61825"/>
    <w:rsid w:val="00E66DD4"/>
    <w:rsid w:val="00E70E5D"/>
    <w:rsid w:val="00E721AF"/>
    <w:rsid w:val="00E73A86"/>
    <w:rsid w:val="00E77A9A"/>
    <w:rsid w:val="00E91A0F"/>
    <w:rsid w:val="00E94290"/>
    <w:rsid w:val="00E9627F"/>
    <w:rsid w:val="00E96447"/>
    <w:rsid w:val="00EA1C2D"/>
    <w:rsid w:val="00EA261E"/>
    <w:rsid w:val="00EA5F69"/>
    <w:rsid w:val="00EB16A9"/>
    <w:rsid w:val="00EC1E0C"/>
    <w:rsid w:val="00EC3724"/>
    <w:rsid w:val="00EC38C3"/>
    <w:rsid w:val="00EC6259"/>
    <w:rsid w:val="00EC7E46"/>
    <w:rsid w:val="00ED0B8D"/>
    <w:rsid w:val="00ED1BBB"/>
    <w:rsid w:val="00ED40C1"/>
    <w:rsid w:val="00ED50AC"/>
    <w:rsid w:val="00ED7382"/>
    <w:rsid w:val="00EE08D8"/>
    <w:rsid w:val="00EE09EF"/>
    <w:rsid w:val="00EE0C04"/>
    <w:rsid w:val="00EE11B9"/>
    <w:rsid w:val="00EE1A2E"/>
    <w:rsid w:val="00EF263D"/>
    <w:rsid w:val="00EF2D83"/>
    <w:rsid w:val="00EF38AE"/>
    <w:rsid w:val="00F048D2"/>
    <w:rsid w:val="00F068E9"/>
    <w:rsid w:val="00F154FC"/>
    <w:rsid w:val="00F169B0"/>
    <w:rsid w:val="00F204C3"/>
    <w:rsid w:val="00F21EFD"/>
    <w:rsid w:val="00F25098"/>
    <w:rsid w:val="00F31C2C"/>
    <w:rsid w:val="00F32DD5"/>
    <w:rsid w:val="00F3335A"/>
    <w:rsid w:val="00F35064"/>
    <w:rsid w:val="00F356E8"/>
    <w:rsid w:val="00F37818"/>
    <w:rsid w:val="00F37F77"/>
    <w:rsid w:val="00F4008B"/>
    <w:rsid w:val="00F40423"/>
    <w:rsid w:val="00F43834"/>
    <w:rsid w:val="00F4595E"/>
    <w:rsid w:val="00F54D56"/>
    <w:rsid w:val="00F60DB0"/>
    <w:rsid w:val="00F61F19"/>
    <w:rsid w:val="00F62B26"/>
    <w:rsid w:val="00F659A6"/>
    <w:rsid w:val="00F7039B"/>
    <w:rsid w:val="00F73A66"/>
    <w:rsid w:val="00F75518"/>
    <w:rsid w:val="00F82137"/>
    <w:rsid w:val="00F82699"/>
    <w:rsid w:val="00F87471"/>
    <w:rsid w:val="00F908D3"/>
    <w:rsid w:val="00F91C3A"/>
    <w:rsid w:val="00FA35C7"/>
    <w:rsid w:val="00FA4488"/>
    <w:rsid w:val="00FA67F7"/>
    <w:rsid w:val="00FB2FCC"/>
    <w:rsid w:val="00FB4945"/>
    <w:rsid w:val="00FB70AE"/>
    <w:rsid w:val="00FC4C87"/>
    <w:rsid w:val="00FC5C25"/>
    <w:rsid w:val="00FD24C8"/>
    <w:rsid w:val="00FD27DE"/>
    <w:rsid w:val="00FD3407"/>
    <w:rsid w:val="00FD4FC4"/>
    <w:rsid w:val="00FD5F9F"/>
    <w:rsid w:val="00FE065D"/>
    <w:rsid w:val="00FE3184"/>
    <w:rsid w:val="00FE3FCF"/>
    <w:rsid w:val="00FF1391"/>
    <w:rsid w:val="00FF43BF"/>
    <w:rsid w:val="00FF582E"/>
    <w:rsid w:val="00FF715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Title" w:uiPriority="10"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D312C3"/>
    <w:rPr>
      <w:sz w:val="24"/>
    </w:rPr>
  </w:style>
  <w:style w:type="paragraph" w:styleId="Nadpis1">
    <w:name w:val="heading 1"/>
    <w:basedOn w:val="Normln"/>
    <w:next w:val="Normln"/>
    <w:qFormat/>
    <w:rsid w:val="00BC2426"/>
    <w:pPr>
      <w:keepNext/>
      <w:numPr>
        <w:numId w:val="11"/>
      </w:numPr>
      <w:spacing w:after="240"/>
      <w:jc w:val="center"/>
      <w:outlineLvl w:val="0"/>
    </w:pPr>
    <w:rPr>
      <w:rFonts w:cs="Arial"/>
      <w:b/>
      <w:bCs/>
      <w:smallCaps/>
      <w:kern w:val="28"/>
      <w:szCs w:val="32"/>
    </w:rPr>
  </w:style>
  <w:style w:type="paragraph" w:styleId="Nadpis2">
    <w:name w:val="heading 2"/>
    <w:basedOn w:val="Normln"/>
    <w:next w:val="Normln"/>
    <w:qFormat/>
    <w:rsid w:val="00BC2426"/>
    <w:pPr>
      <w:keepNext/>
      <w:numPr>
        <w:ilvl w:val="1"/>
        <w:numId w:val="11"/>
      </w:numPr>
      <w:spacing w:after="240"/>
      <w:jc w:val="center"/>
      <w:outlineLvl w:val="1"/>
    </w:pPr>
    <w:rPr>
      <w:rFonts w:cs="Arial"/>
      <w:b/>
      <w:bCs/>
      <w:iCs/>
      <w:szCs w:val="28"/>
    </w:rPr>
  </w:style>
  <w:style w:type="paragraph" w:styleId="Nadpis3">
    <w:name w:val="heading 3"/>
    <w:basedOn w:val="Normln"/>
    <w:next w:val="Normln"/>
    <w:qFormat/>
    <w:rsid w:val="002D4FA9"/>
    <w:pPr>
      <w:keepNext/>
      <w:outlineLvl w:val="2"/>
    </w:pPr>
    <w:rPr>
      <w:b/>
    </w:rPr>
  </w:style>
  <w:style w:type="paragraph" w:styleId="Nadpis4">
    <w:name w:val="heading 4"/>
    <w:basedOn w:val="Normln"/>
    <w:next w:val="Normln"/>
    <w:qFormat/>
    <w:rsid w:val="002D4FA9"/>
    <w:pPr>
      <w:keepNext/>
      <w:outlineLvl w:val="3"/>
    </w:pPr>
    <w:rPr>
      <w:b/>
      <w:i/>
    </w:rPr>
  </w:style>
  <w:style w:type="paragraph" w:styleId="Nadpis5">
    <w:name w:val="heading 5"/>
    <w:basedOn w:val="Normln"/>
    <w:next w:val="Normln"/>
    <w:qFormat/>
    <w:rsid w:val="002D4FA9"/>
    <w:pPr>
      <w:keepNext/>
      <w:outlineLvl w:val="4"/>
    </w:pPr>
    <w:rPr>
      <w:i/>
    </w:rPr>
  </w:style>
  <w:style w:type="paragraph" w:styleId="Nadpis6">
    <w:name w:val="heading 6"/>
    <w:basedOn w:val="Normln"/>
    <w:next w:val="Normln"/>
    <w:qFormat/>
    <w:rsid w:val="002D4FA9"/>
    <w:pPr>
      <w:outlineLvl w:val="5"/>
    </w:pPr>
  </w:style>
  <w:style w:type="paragraph" w:styleId="Nadpis7">
    <w:name w:val="heading 7"/>
    <w:basedOn w:val="Normln"/>
    <w:next w:val="Normln"/>
    <w:qFormat/>
    <w:rsid w:val="002D4FA9"/>
    <w:pPr>
      <w:outlineLvl w:val="6"/>
    </w:pPr>
  </w:style>
  <w:style w:type="paragraph" w:styleId="Nadpis8">
    <w:name w:val="heading 8"/>
    <w:basedOn w:val="Normln"/>
    <w:next w:val="Normln"/>
    <w:qFormat/>
    <w:rsid w:val="002D4FA9"/>
    <w:pPr>
      <w:outlineLvl w:val="7"/>
    </w:pPr>
  </w:style>
  <w:style w:type="paragraph" w:styleId="Nadpis9">
    <w:name w:val="heading 9"/>
    <w:basedOn w:val="Normln"/>
    <w:next w:val="Normln"/>
    <w:qFormat/>
    <w:rsid w:val="002D4FA9"/>
    <w:pPr>
      <w:outlineLvl w:val="8"/>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nakapoznpodarou">
    <w:name w:val="footnote reference"/>
    <w:basedOn w:val="Standardnpsmoodstavce"/>
    <w:uiPriority w:val="99"/>
    <w:semiHidden/>
    <w:rsid w:val="00C5281C"/>
    <w:rPr>
      <w:sz w:val="20"/>
      <w:vertAlign w:val="superscript"/>
    </w:rPr>
  </w:style>
  <w:style w:type="paragraph" w:styleId="Textpoznpodarou">
    <w:name w:val="footnote text"/>
    <w:aliases w:val="fn"/>
    <w:basedOn w:val="Normln"/>
    <w:link w:val="TextpoznpodarouChar"/>
    <w:uiPriority w:val="99"/>
    <w:semiHidden/>
    <w:rsid w:val="00C5281C"/>
    <w:pPr>
      <w:spacing w:after="240"/>
    </w:pPr>
    <w:rPr>
      <w:sz w:val="20"/>
    </w:rPr>
  </w:style>
  <w:style w:type="paragraph" w:customStyle="1" w:styleId="Indent">
    <w:name w:val="Indent"/>
    <w:basedOn w:val="Normln"/>
    <w:rsid w:val="002D4FA9"/>
    <w:pPr>
      <w:ind w:left="720" w:hanging="720"/>
    </w:pPr>
  </w:style>
  <w:style w:type="paragraph" w:styleId="Seznamsodrkami">
    <w:name w:val="List Bullet"/>
    <w:basedOn w:val="Normln"/>
    <w:rsid w:val="002D4FA9"/>
    <w:pPr>
      <w:numPr>
        <w:numId w:val="4"/>
      </w:numPr>
      <w:tabs>
        <w:tab w:val="clear" w:pos="360"/>
        <w:tab w:val="left" w:pos="720"/>
      </w:tabs>
      <w:spacing w:after="240"/>
      <w:ind w:left="720" w:hanging="720"/>
    </w:pPr>
  </w:style>
  <w:style w:type="paragraph" w:customStyle="1" w:styleId="ParagraphNumbering">
    <w:name w:val="Paragraph Numbering"/>
    <w:basedOn w:val="Normln"/>
    <w:rsid w:val="008569C0"/>
    <w:pPr>
      <w:numPr>
        <w:numId w:val="13"/>
      </w:numPr>
      <w:tabs>
        <w:tab w:val="clear" w:pos="720"/>
        <w:tab w:val="num" w:pos="360"/>
      </w:tabs>
      <w:spacing w:after="240"/>
    </w:pPr>
    <w:rPr>
      <w:szCs w:val="24"/>
    </w:rPr>
  </w:style>
  <w:style w:type="paragraph" w:styleId="Zhlav">
    <w:name w:val="header"/>
    <w:basedOn w:val="Normln"/>
    <w:link w:val="ZhlavChar"/>
    <w:uiPriority w:val="99"/>
    <w:rsid w:val="002D4FA9"/>
    <w:pPr>
      <w:tabs>
        <w:tab w:val="center" w:pos="4320"/>
        <w:tab w:val="right" w:pos="8640"/>
      </w:tabs>
    </w:pPr>
  </w:style>
  <w:style w:type="paragraph" w:styleId="Zpat">
    <w:name w:val="footer"/>
    <w:basedOn w:val="Normln"/>
    <w:link w:val="ZpatChar"/>
    <w:uiPriority w:val="99"/>
    <w:rsid w:val="002D4FA9"/>
    <w:pPr>
      <w:tabs>
        <w:tab w:val="center" w:pos="4320"/>
        <w:tab w:val="right" w:pos="8640"/>
      </w:tabs>
    </w:pPr>
  </w:style>
  <w:style w:type="paragraph" w:styleId="Titulek">
    <w:name w:val="caption"/>
    <w:basedOn w:val="Normln"/>
    <w:next w:val="Normln"/>
    <w:qFormat/>
    <w:rsid w:val="002D4FA9"/>
    <w:pPr>
      <w:spacing w:before="120" w:after="120"/>
    </w:pPr>
    <w:rPr>
      <w:snapToGrid w:val="0"/>
    </w:rPr>
  </w:style>
  <w:style w:type="paragraph" w:customStyle="1" w:styleId="CoverTitle">
    <w:name w:val="Cover Title"/>
    <w:basedOn w:val="Normln"/>
    <w:next w:val="Normln"/>
    <w:uiPriority w:val="99"/>
    <w:rsid w:val="00ED0B8D"/>
    <w:pPr>
      <w:spacing w:before="720" w:after="480"/>
      <w:jc w:val="center"/>
    </w:pPr>
    <w:rPr>
      <w:noProof/>
      <w:sz w:val="48"/>
    </w:rPr>
  </w:style>
  <w:style w:type="paragraph" w:customStyle="1" w:styleId="CoverAuthor">
    <w:name w:val="Cover Author"/>
    <w:basedOn w:val="Normln"/>
    <w:next w:val="CoverTitle"/>
    <w:uiPriority w:val="99"/>
    <w:rsid w:val="00AC3FA0"/>
    <w:pPr>
      <w:spacing w:after="360" w:line="264" w:lineRule="auto"/>
      <w:jc w:val="center"/>
    </w:pPr>
    <w:rPr>
      <w:i/>
      <w:noProof/>
      <w:sz w:val="36"/>
    </w:rPr>
  </w:style>
  <w:style w:type="paragraph" w:customStyle="1" w:styleId="DocType">
    <w:name w:val="Doc Type"/>
    <w:basedOn w:val="Normln"/>
    <w:next w:val="Normln"/>
    <w:uiPriority w:val="99"/>
    <w:rsid w:val="00AC3FA0"/>
    <w:pPr>
      <w:spacing w:before="1080" w:after="120"/>
      <w:jc w:val="center"/>
    </w:pPr>
    <w:rPr>
      <w:b/>
      <w:noProof/>
    </w:rPr>
  </w:style>
  <w:style w:type="paragraph" w:customStyle="1" w:styleId="DocTitle">
    <w:name w:val="Doc Title"/>
    <w:basedOn w:val="Normln"/>
    <w:next w:val="CoverAuthor"/>
    <w:uiPriority w:val="99"/>
    <w:rsid w:val="00B05B02"/>
    <w:pPr>
      <w:spacing w:before="120" w:after="240"/>
      <w:jc w:val="center"/>
    </w:pPr>
    <w:rPr>
      <w:b/>
    </w:rPr>
  </w:style>
  <w:style w:type="paragraph" w:customStyle="1" w:styleId="Author">
    <w:name w:val="Author"/>
    <w:basedOn w:val="Normln"/>
    <w:uiPriority w:val="99"/>
    <w:rsid w:val="00B05B02"/>
    <w:pPr>
      <w:shd w:val="clear" w:color="000000" w:fill="auto"/>
      <w:spacing w:before="120" w:after="240"/>
      <w:jc w:val="center"/>
    </w:pPr>
    <w:rPr>
      <w:b/>
      <w:noProof/>
    </w:rPr>
  </w:style>
  <w:style w:type="paragraph" w:customStyle="1" w:styleId="Authorizer">
    <w:name w:val="Authorizer"/>
    <w:basedOn w:val="Normln"/>
    <w:uiPriority w:val="99"/>
    <w:rsid w:val="00B05B02"/>
    <w:pPr>
      <w:spacing w:before="120" w:after="240"/>
      <w:jc w:val="center"/>
    </w:pPr>
    <w:rPr>
      <w:noProof/>
    </w:rPr>
  </w:style>
  <w:style w:type="paragraph" w:customStyle="1" w:styleId="date">
    <w:name w:val="date"/>
    <w:basedOn w:val="Normln"/>
    <w:next w:val="Normln"/>
    <w:uiPriority w:val="99"/>
    <w:rsid w:val="00B05B02"/>
    <w:pPr>
      <w:spacing w:before="120" w:after="480"/>
      <w:jc w:val="center"/>
    </w:pPr>
    <w:rPr>
      <w:noProof/>
    </w:rPr>
  </w:style>
  <w:style w:type="paragraph" w:customStyle="1" w:styleId="AbstractTitle">
    <w:name w:val="Abstract Title"/>
    <w:basedOn w:val="Normln"/>
    <w:uiPriority w:val="99"/>
    <w:rsid w:val="00102568"/>
    <w:pPr>
      <w:keepNext/>
      <w:shd w:val="clear" w:color="000000" w:fill="auto"/>
      <w:tabs>
        <w:tab w:val="num" w:pos="720"/>
      </w:tabs>
      <w:spacing w:before="240" w:after="240"/>
      <w:jc w:val="center"/>
      <w:outlineLvl w:val="0"/>
    </w:pPr>
    <w:rPr>
      <w:rFonts w:cs="Arial"/>
      <w:b/>
      <w:bCs/>
      <w:kern w:val="28"/>
      <w:szCs w:val="32"/>
    </w:rPr>
  </w:style>
  <w:style w:type="paragraph" w:customStyle="1" w:styleId="Abstracttext">
    <w:name w:val="Abstract text"/>
    <w:basedOn w:val="Normln"/>
    <w:uiPriority w:val="99"/>
    <w:rsid w:val="00721042"/>
    <w:pPr>
      <w:spacing w:before="60" w:after="60"/>
      <w:ind w:left="288" w:right="288"/>
    </w:pPr>
    <w:rPr>
      <w:noProof/>
    </w:rPr>
  </w:style>
  <w:style w:type="paragraph" w:customStyle="1" w:styleId="ISBN">
    <w:name w:val="ISBN"/>
    <w:basedOn w:val="Normln"/>
    <w:uiPriority w:val="99"/>
    <w:rsid w:val="0083255D"/>
    <w:pPr>
      <w:spacing w:line="264" w:lineRule="auto"/>
    </w:pPr>
    <w:rPr>
      <w:noProof/>
    </w:rPr>
  </w:style>
  <w:style w:type="paragraph" w:customStyle="1" w:styleId="ISSN">
    <w:name w:val="ISSN"/>
    <w:basedOn w:val="Normln"/>
    <w:uiPriority w:val="99"/>
    <w:rsid w:val="0083255D"/>
    <w:pPr>
      <w:spacing w:line="264" w:lineRule="auto"/>
    </w:pPr>
    <w:rPr>
      <w:noProof/>
    </w:rPr>
  </w:style>
  <w:style w:type="paragraph" w:customStyle="1" w:styleId="JEL">
    <w:name w:val="JEL"/>
    <w:basedOn w:val="Normln"/>
    <w:uiPriority w:val="99"/>
    <w:rsid w:val="00454C48"/>
    <w:pPr>
      <w:spacing w:before="420" w:after="240" w:line="264" w:lineRule="auto"/>
    </w:pPr>
    <w:rPr>
      <w:noProof/>
    </w:rPr>
  </w:style>
  <w:style w:type="paragraph" w:customStyle="1" w:styleId="Keywords">
    <w:name w:val="Keywords"/>
    <w:basedOn w:val="Normln"/>
    <w:uiPriority w:val="99"/>
    <w:rsid w:val="00B05B02"/>
    <w:pPr>
      <w:spacing w:before="120" w:after="240" w:line="264" w:lineRule="auto"/>
    </w:pPr>
    <w:rPr>
      <w:noProof/>
    </w:rPr>
  </w:style>
  <w:style w:type="paragraph" w:customStyle="1" w:styleId="EmailAddress">
    <w:name w:val="Email Address"/>
    <w:basedOn w:val="Normln"/>
    <w:uiPriority w:val="99"/>
    <w:rsid w:val="00B05B02"/>
    <w:pPr>
      <w:spacing w:before="120" w:after="600" w:line="264" w:lineRule="auto"/>
    </w:pPr>
    <w:rPr>
      <w:noProof/>
    </w:rPr>
  </w:style>
  <w:style w:type="character" w:styleId="Hypertextovodkaz">
    <w:name w:val="Hyperlink"/>
    <w:basedOn w:val="Standardnpsmoodstavce"/>
    <w:uiPriority w:val="99"/>
    <w:rsid w:val="0083255D"/>
    <w:rPr>
      <w:rFonts w:cs="Times New Roman"/>
      <w:color w:val="0000FF"/>
      <w:u w:val="single"/>
    </w:rPr>
  </w:style>
  <w:style w:type="paragraph" w:customStyle="1" w:styleId="Department">
    <w:name w:val="Department"/>
    <w:basedOn w:val="Normln"/>
    <w:uiPriority w:val="99"/>
    <w:rsid w:val="00102568"/>
    <w:pPr>
      <w:spacing w:before="300" w:after="360"/>
      <w:jc w:val="center"/>
    </w:pPr>
  </w:style>
  <w:style w:type="paragraph" w:customStyle="1" w:styleId="Disclaimer">
    <w:name w:val="Disclaimer"/>
    <w:basedOn w:val="Normln"/>
    <w:uiPriority w:val="99"/>
    <w:rsid w:val="003E0060"/>
  </w:style>
  <w:style w:type="paragraph" w:customStyle="1" w:styleId="WPNumber">
    <w:name w:val="WP Number"/>
    <w:basedOn w:val="Normln"/>
    <w:uiPriority w:val="99"/>
    <w:qFormat/>
    <w:rsid w:val="003E0060"/>
    <w:pPr>
      <w:tabs>
        <w:tab w:val="left" w:pos="-1440"/>
        <w:tab w:val="right" w:pos="9000"/>
      </w:tabs>
      <w:spacing w:line="264" w:lineRule="auto"/>
    </w:pPr>
    <w:rPr>
      <w:sz w:val="20"/>
    </w:rPr>
  </w:style>
  <w:style w:type="paragraph" w:customStyle="1" w:styleId="CoverWPNumber">
    <w:name w:val="Cover WP Number"/>
    <w:basedOn w:val="Zhlav"/>
    <w:uiPriority w:val="99"/>
    <w:qFormat/>
    <w:rsid w:val="00482FCE"/>
    <w:pPr>
      <w:jc w:val="right"/>
    </w:pPr>
    <w:rPr>
      <w:noProof/>
      <w:sz w:val="36"/>
    </w:rPr>
  </w:style>
  <w:style w:type="paragraph" w:styleId="Textbubliny">
    <w:name w:val="Balloon Text"/>
    <w:basedOn w:val="Normln"/>
    <w:link w:val="TextbublinyChar"/>
    <w:rsid w:val="00C5287A"/>
    <w:rPr>
      <w:rFonts w:ascii="Tahoma" w:hAnsi="Tahoma" w:cs="Tahoma"/>
      <w:sz w:val="16"/>
      <w:szCs w:val="16"/>
    </w:rPr>
  </w:style>
  <w:style w:type="character" w:customStyle="1" w:styleId="TextbublinyChar">
    <w:name w:val="Text bubliny Char"/>
    <w:basedOn w:val="Standardnpsmoodstavce"/>
    <w:link w:val="Textbubliny"/>
    <w:rsid w:val="00C5287A"/>
    <w:rPr>
      <w:rFonts w:ascii="Tahoma" w:hAnsi="Tahoma" w:cs="Tahoma"/>
      <w:sz w:val="16"/>
      <w:szCs w:val="16"/>
    </w:rPr>
  </w:style>
  <w:style w:type="character" w:customStyle="1" w:styleId="TextpoznpodarouChar">
    <w:name w:val="Text pozn. pod čarou Char"/>
    <w:aliases w:val="fn Char"/>
    <w:basedOn w:val="Standardnpsmoodstavce"/>
    <w:link w:val="Textpoznpodarou"/>
    <w:uiPriority w:val="99"/>
    <w:semiHidden/>
    <w:rsid w:val="00F3335A"/>
  </w:style>
  <w:style w:type="paragraph" w:customStyle="1" w:styleId="MTDisplayEquation">
    <w:name w:val="MTDisplayEquation"/>
    <w:basedOn w:val="Normln"/>
    <w:next w:val="Normln"/>
    <w:link w:val="MTDisplayEquationChar"/>
    <w:rsid w:val="00261BCE"/>
    <w:pPr>
      <w:tabs>
        <w:tab w:val="center" w:pos="4500"/>
        <w:tab w:val="right" w:pos="9000"/>
      </w:tabs>
    </w:pPr>
  </w:style>
  <w:style w:type="character" w:customStyle="1" w:styleId="MTDisplayEquationChar">
    <w:name w:val="MTDisplayEquation Char"/>
    <w:basedOn w:val="Standardnpsmoodstavce"/>
    <w:link w:val="MTDisplayEquation"/>
    <w:locked/>
    <w:rsid w:val="00261BCE"/>
    <w:rPr>
      <w:sz w:val="24"/>
    </w:rPr>
  </w:style>
  <w:style w:type="character" w:customStyle="1" w:styleId="sgreen">
    <w:name w:val="sgreen"/>
    <w:basedOn w:val="Standardnpsmoodstavce"/>
    <w:rsid w:val="00ED50AC"/>
    <w:rPr>
      <w:rFonts w:cs="Times New Roman"/>
    </w:rPr>
  </w:style>
  <w:style w:type="character" w:styleId="Odkaznakoment">
    <w:name w:val="annotation reference"/>
    <w:basedOn w:val="Standardnpsmoodstavce"/>
    <w:rsid w:val="000D1A50"/>
    <w:rPr>
      <w:sz w:val="16"/>
      <w:szCs w:val="16"/>
    </w:rPr>
  </w:style>
  <w:style w:type="paragraph" w:styleId="Textkomente">
    <w:name w:val="annotation text"/>
    <w:basedOn w:val="Normln"/>
    <w:link w:val="TextkomenteChar"/>
    <w:rsid w:val="000D1A50"/>
    <w:rPr>
      <w:sz w:val="20"/>
    </w:rPr>
  </w:style>
  <w:style w:type="character" w:customStyle="1" w:styleId="TextkomenteChar">
    <w:name w:val="Text komentáře Char"/>
    <w:basedOn w:val="Standardnpsmoodstavce"/>
    <w:link w:val="Textkomente"/>
    <w:rsid w:val="000D1A50"/>
  </w:style>
  <w:style w:type="paragraph" w:styleId="Pedmtkomente">
    <w:name w:val="annotation subject"/>
    <w:basedOn w:val="Textkomente"/>
    <w:next w:val="Textkomente"/>
    <w:link w:val="PedmtkomenteChar"/>
    <w:rsid w:val="000D1A50"/>
    <w:rPr>
      <w:b/>
      <w:bCs/>
    </w:rPr>
  </w:style>
  <w:style w:type="character" w:customStyle="1" w:styleId="PedmtkomenteChar">
    <w:name w:val="Předmět komentáře Char"/>
    <w:basedOn w:val="TextkomenteChar"/>
    <w:link w:val="Pedmtkomente"/>
    <w:rsid w:val="000D1A50"/>
    <w:rPr>
      <w:b/>
      <w:bCs/>
    </w:rPr>
  </w:style>
  <w:style w:type="character" w:customStyle="1" w:styleId="ZpatChar">
    <w:name w:val="Zápatí Char"/>
    <w:basedOn w:val="Standardnpsmoodstavce"/>
    <w:link w:val="Zpat"/>
    <w:uiPriority w:val="99"/>
    <w:rsid w:val="00782DF5"/>
    <w:rPr>
      <w:sz w:val="24"/>
    </w:rPr>
  </w:style>
  <w:style w:type="character" w:styleId="slostrnky">
    <w:name w:val="page number"/>
    <w:basedOn w:val="Standardnpsmoodstavce"/>
    <w:rsid w:val="00AB582C"/>
  </w:style>
  <w:style w:type="paragraph" w:styleId="Nzev">
    <w:name w:val="Title"/>
    <w:basedOn w:val="Normln"/>
    <w:link w:val="NzevChar"/>
    <w:uiPriority w:val="10"/>
    <w:qFormat/>
    <w:rsid w:val="006E314A"/>
    <w:pPr>
      <w:spacing w:before="240" w:after="60"/>
      <w:jc w:val="center"/>
    </w:pPr>
    <w:rPr>
      <w:rFonts w:ascii="Arial" w:eastAsiaTheme="minorHAnsi" w:hAnsi="Arial" w:cs="Arial"/>
      <w:b/>
      <w:bCs/>
      <w:sz w:val="32"/>
      <w:szCs w:val="32"/>
    </w:rPr>
  </w:style>
  <w:style w:type="character" w:customStyle="1" w:styleId="NzevChar">
    <w:name w:val="Název Char"/>
    <w:basedOn w:val="Standardnpsmoodstavce"/>
    <w:link w:val="Nzev"/>
    <w:uiPriority w:val="10"/>
    <w:rsid w:val="006E314A"/>
    <w:rPr>
      <w:rFonts w:ascii="Arial" w:eastAsiaTheme="minorHAnsi" w:hAnsi="Arial" w:cs="Arial"/>
      <w:b/>
      <w:bCs/>
      <w:sz w:val="32"/>
      <w:szCs w:val="32"/>
    </w:rPr>
  </w:style>
  <w:style w:type="character" w:customStyle="1" w:styleId="ZhlavChar">
    <w:name w:val="Záhlaví Char"/>
    <w:basedOn w:val="Standardnpsmoodstavce"/>
    <w:link w:val="Zhlav"/>
    <w:uiPriority w:val="99"/>
    <w:rsid w:val="00EC7E46"/>
    <w:rPr>
      <w:sz w:val="24"/>
    </w:rPr>
  </w:style>
</w:styles>
</file>

<file path=word/webSettings.xml><?xml version="1.0" encoding="utf-8"?>
<w:webSettings xmlns:r="http://schemas.openxmlformats.org/officeDocument/2006/relationships" xmlns:w="http://schemas.openxmlformats.org/wordprocessingml/2006/main">
  <w:divs>
    <w:div w:id="437680363">
      <w:bodyDiv w:val="1"/>
      <w:marLeft w:val="0"/>
      <w:marRight w:val="0"/>
      <w:marTop w:val="0"/>
      <w:marBottom w:val="0"/>
      <w:divBdr>
        <w:top w:val="none" w:sz="0" w:space="0" w:color="auto"/>
        <w:left w:val="none" w:sz="0" w:space="0" w:color="auto"/>
        <w:bottom w:val="none" w:sz="0" w:space="0" w:color="auto"/>
        <w:right w:val="none" w:sz="0" w:space="0" w:color="auto"/>
      </w:divBdr>
    </w:div>
    <w:div w:id="530653879">
      <w:bodyDiv w:val="1"/>
      <w:marLeft w:val="0"/>
      <w:marRight w:val="0"/>
      <w:marTop w:val="0"/>
      <w:marBottom w:val="0"/>
      <w:divBdr>
        <w:top w:val="none" w:sz="0" w:space="0" w:color="auto"/>
        <w:left w:val="none" w:sz="0" w:space="0" w:color="auto"/>
        <w:bottom w:val="none" w:sz="0" w:space="0" w:color="auto"/>
        <w:right w:val="none" w:sz="0" w:space="0" w:color="auto"/>
      </w:divBdr>
    </w:div>
    <w:div w:id="818379929">
      <w:bodyDiv w:val="1"/>
      <w:marLeft w:val="0"/>
      <w:marRight w:val="0"/>
      <w:marTop w:val="0"/>
      <w:marBottom w:val="0"/>
      <w:divBdr>
        <w:top w:val="none" w:sz="0" w:space="0" w:color="auto"/>
        <w:left w:val="none" w:sz="0" w:space="0" w:color="auto"/>
        <w:bottom w:val="none" w:sz="0" w:space="0" w:color="auto"/>
        <w:right w:val="none" w:sz="0" w:space="0" w:color="auto"/>
      </w:divBdr>
    </w:div>
    <w:div w:id="1410494495">
      <w:bodyDiv w:val="1"/>
      <w:marLeft w:val="0"/>
      <w:marRight w:val="0"/>
      <w:marTop w:val="0"/>
      <w:marBottom w:val="0"/>
      <w:divBdr>
        <w:top w:val="none" w:sz="0" w:space="0" w:color="auto"/>
        <w:left w:val="none" w:sz="0" w:space="0" w:color="auto"/>
        <w:bottom w:val="none" w:sz="0" w:space="0" w:color="auto"/>
        <w:right w:val="none" w:sz="0" w:space="0" w:color="auto"/>
      </w:divBdr>
    </w:div>
    <w:div w:id="1685400639">
      <w:bodyDiv w:val="1"/>
      <w:marLeft w:val="0"/>
      <w:marRight w:val="0"/>
      <w:marTop w:val="0"/>
      <w:marBottom w:val="0"/>
      <w:divBdr>
        <w:top w:val="none" w:sz="0" w:space="0" w:color="auto"/>
        <w:left w:val="none" w:sz="0" w:space="0" w:color="auto"/>
        <w:bottom w:val="none" w:sz="0" w:space="0" w:color="auto"/>
        <w:right w:val="none" w:sz="0" w:space="0" w:color="auto"/>
      </w:divBdr>
    </w:div>
    <w:div w:id="2133550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20.bin"/><Relationship Id="rId50" Type="http://schemas.openxmlformats.org/officeDocument/2006/relationships/image" Target="media/image22.emf"/><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41" Type="http://schemas.openxmlformats.org/officeDocument/2006/relationships/oleObject" Target="embeddings/oleObject17.bin"/><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image" Target="media/image17.emf"/><Relationship Id="rId45" Type="http://schemas.openxmlformats.org/officeDocument/2006/relationships/oleObject" Target="embeddings/oleObject19.bin"/><Relationship Id="rId53"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1.bin"/><Relationship Id="rId57"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9.emf"/><Relationship Id="rId52" Type="http://schemas.openxmlformats.org/officeDocument/2006/relationships/image" Target="media/image23.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emf"/><Relationship Id="rId56"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oleObject" Target="embeddings/oleObject22.bin"/><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T:\Program%20Files\Microsoft%20Office\OFFICE12\IMF%20Templates\PDP-Working%20Pap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EF2CD-A3A9-486B-9DA3-D650C1679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PDP-Working Paper.dotm</Template>
  <TotalTime>8</TotalTime>
  <Pages>32</Pages>
  <Words>2664</Words>
  <Characters>15721</Characters>
  <Application>Microsoft Office Word</Application>
  <DocSecurity>0</DocSecurity>
  <Lines>131</Lines>
  <Paragraphs>36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PDP-Working Paper</vt:lpstr>
      <vt:lpstr>PDP-Working Paper</vt:lpstr>
    </vt:vector>
  </TitlesOfParts>
  <Company>IMF</Company>
  <LinksUpToDate>false</LinksUpToDate>
  <CharactersWithSpaces>18349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PDP-Working Paper</dc:title>
  <dc:creator>vklyuev</dc:creator>
  <cp:keywords>IMF</cp:keywords>
  <dc:description>Template used Fund-wide for policy discussion papers and working papers.</dc:description>
  <cp:lastModifiedBy>Renata Nováková</cp:lastModifiedBy>
  <cp:revision>3</cp:revision>
  <cp:lastPrinted>2011-01-31T16:07:00Z</cp:lastPrinted>
  <dcterms:created xsi:type="dcterms:W3CDTF">2011-08-12T17:23:00Z</dcterms:created>
  <dcterms:modified xsi:type="dcterms:W3CDTF">2011-08-12T17:31:00Z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-1215336659</vt:i4>
  </property>
  <property fmtid="{D5CDD505-2E9C-101B-9397-08002B2CF9AE}" pid="3" name="_NewReviewCycle">
    <vt:lpwstr/>
  </property>
  <property fmtid="{D5CDD505-2E9C-101B-9397-08002B2CF9AE}" pid="4" name="_EmailSubject">
    <vt:lpwstr>Effects of Fiscal Consolidation in the Czech Republic - revised submission</vt:lpwstr>
  </property>
  <property fmtid="{D5CDD505-2E9C-101B-9397-08002B2CF9AE}" pid="5" name="_AuthorEmail">
    <vt:lpwstr>VKlyuev@imf.org</vt:lpwstr>
  </property>
  <property fmtid="{D5CDD505-2E9C-101B-9397-08002B2CF9AE}" pid="6" name="_AuthorEmailDisplayName">
    <vt:lpwstr>Klyuev, Vladimir</vt:lpwstr>
  </property>
  <property fmtid="{D5CDD505-2E9C-101B-9397-08002B2CF9AE}" pid="7" name="_PreviousAdHocReviewCycleID">
    <vt:i4>-748428708</vt:i4>
  </property>
  <property fmtid="{D5CDD505-2E9C-101B-9397-08002B2CF9AE}" pid="8" name="_ReviewingToolsShownOnce">
    <vt:lpwstr/>
  </property>
</Properties>
</file>